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F3864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CERTUS PLD</w:t>
            </w:r>
            <w:r>
              <w:rPr>
                <w:rFonts w:ascii="Calibri" w:cs="Calibri" w:eastAsia="Calibri" w:hAnsi="Calibri"/>
                <w:color w:val="B08D57"/>
                <w:sz w:val="22"/>
                <w:szCs w:val="22"/>
              </w:rPr>
              <w:t xml:space="preserve">   |   </w:t>
            </w:r>
            <w:r>
              <w:rPr>
                <w:rFonts w:ascii="Calibri" w:cs="Calibri" w:eastAsia="Calibri" w:hAnsi="Calibri"/>
                <w:b/>
                <w:bCs/>
                <w:color w:val="B08D57"/>
                <w:sz w:val="22"/>
                <w:szCs w:val="22"/>
              </w:rPr>
              <w:t xml:space="preserve">D0-COR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Carta de Recomendaciones Urgentes en Materia PLD/FT — Corredurías Públicas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D9D9D9"/>
                <w:sz w:val="18"/>
                <w:szCs w:val="18"/>
              </w:rPr>
              <w:t xml:space="preserve">Correduría: [Denominación de la Correduría]   │   Variante: Correduría Pública — Fracción XII, Apartado B LFPIORPI</w:t>
            </w:r>
          </w:p>
        </w:tc>
      </w:tr>
    </w:tbl>
    <w:p/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shd w:fill="EDEDED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Para:</w:t>
            </w:r>
          </w:p>
        </w:tc>
        <w:tc>
          <w:tcPr>
            <w:tcW w:type="dxa" w:w="71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[Nombre del Corredor Público Titular]</w:t>
            </w:r>
          </w:p>
        </w:tc>
      </w:tr>
      <w:tr>
        <w:tc>
          <w:tcPr>
            <w:tcW w:type="dxa" w:w="2200"/>
            <w:shd w:fill="EDEDED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Correduría:</w:t>
            </w:r>
          </w:p>
        </w:tc>
        <w:tc>
          <w:tcPr>
            <w:tcW w:type="dxa" w:w="71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[Denominación de la Correduría] — Correduría Pública No. [Número] — Plaza de [Entidad federativa]</w:t>
            </w:r>
          </w:p>
        </w:tc>
      </w:tr>
      <w:tr>
        <w:tc>
          <w:tcPr>
            <w:tcW w:type="dxa" w:w="2200"/>
            <w:shd w:fill="EDEDED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RFC:</w:t>
            </w:r>
          </w:p>
        </w:tc>
        <w:tc>
          <w:tcPr>
            <w:tcW w:type="dxa" w:w="71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[RFC]</w:t>
            </w:r>
          </w:p>
        </w:tc>
      </w:tr>
      <w:tr>
        <w:tc>
          <w:tcPr>
            <w:tcW w:type="dxa" w:w="2200"/>
            <w:shd w:fill="EDEDED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De:</w:t>
            </w:r>
          </w:p>
        </w:tc>
        <w:tc>
          <w:tcPr>
            <w:tcW w:type="dxa" w:w="71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Certus Consultores │ Certus PLD</w:t>
            </w:r>
          </w:p>
        </w:tc>
      </w:tr>
      <w:tr>
        <w:tc>
          <w:tcPr>
            <w:tcW w:type="dxa" w:w="2200"/>
            <w:shd w:fill="EDEDED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Correo:</w:t>
            </w:r>
          </w:p>
        </w:tc>
        <w:tc>
          <w:tcPr>
            <w:tcW w:type="dxa" w:w="71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contacto@certusconsultores.com.mx │ Tel. 999 163 1363</w:t>
            </w:r>
          </w:p>
        </w:tc>
      </w:tr>
      <w:tr>
        <w:tc>
          <w:tcPr>
            <w:tcW w:type="dxa" w:w="2200"/>
            <w:shd w:fill="EDEDED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Fecha:</w:t>
            </w:r>
          </w:p>
        </w:tc>
        <w:tc>
          <w:tcPr>
            <w:tcW w:type="dxa" w:w="71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[Ciudad, Fecha]</w:t>
            </w:r>
          </w:p>
        </w:tc>
      </w:tr>
      <w:tr>
        <w:tc>
          <w:tcPr>
            <w:tcW w:type="dxa" w:w="2200"/>
            <w:shd w:fill="EDEDED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Ref.:</w:t>
            </w:r>
          </w:p>
        </w:tc>
        <w:tc>
          <w:tcPr>
            <w:tcW w:type="dxa" w:w="71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PLD/FT — LFPIORPI reforma DOF 16/07/2025, Art. 17 Fracc. XII, Apartado B</w:t>
            </w:r>
          </w:p>
        </w:tc>
      </w:tr>
    </w:tbl>
    <w:p/>
    <w:p>
      <w:pPr>
        <w:pBdr>
          <w:bottom w:val="single" w:color="B08D57" w:sz="6" w:space="2"/>
        </w:pBdr>
        <w:spacing w:after="14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I. Objeto de la presente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Por medio de la presente, y en ejercicio de nuestras funciones como consultores especializados en materia de Prevención de Lavado de Dinero y Financiamiento al Terrorismo (PLD/FT), nos permitimos comunicar a usted los incumplimientos identificados en el diagnóstico preliminar practicado a la Correduría Pública a su cargo, respecto de las obligaciones previstas en la Ley Federal para la Prevención e Identificación de Operaciones con Recursos de Procedencia Ilícita (LFPIORPI), en su calidad de corredor público sujeto a la Fracción XII, Apartado B, del artículo 17.</w:t>
      </w:r>
    </w:p>
    <w:p>
      <w:pPr>
        <w:pBdr>
          <w:bottom w:val="single" w:color="B08D57" w:sz="6" w:space="2"/>
        </w:pBdr>
        <w:spacing w:after="14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II. Tabla de incumplimientos identificados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3300"/>
        <w:gridCol w:w="2100"/>
        <w:gridCol w:w="2000"/>
        <w:gridCol w:w="1530"/>
      </w:tblGrid>
      <w:tr>
        <w:trPr>
          <w:tblHeader/>
        </w:trPr>
        <w:tc>
          <w:tcPr>
            <w:tcW w:type="dxa" w:w="42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33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Incumplimiento Detectado</w:t>
            </w:r>
          </w:p>
        </w:tc>
        <w:tc>
          <w:tcPr>
            <w:tcW w:type="dxa" w:w="21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Inciso / Fundamento (Fracc. XII, Ap. B)</w:t>
            </w:r>
          </w:p>
        </w:tc>
        <w:tc>
          <w:tcPr>
            <w:tcW w:type="dxa" w:w="2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Riesgo Sancionatorio</w:t>
            </w:r>
          </w:p>
        </w:tc>
        <w:tc>
          <w:tcPr>
            <w:tcW w:type="dxa" w:w="153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</w:tr>
      <w:tr>
        <w:tc>
          <w:tcPr>
            <w:tcW w:type="dxa" w:w="42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3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Omisión de alta y registro en el Padrón de Actividades Vulnerables (portal SPPLD) como corredor público</w:t>
            </w:r>
          </w:p>
        </w:tc>
        <w:tc>
          <w:tcPr>
            <w:tcW w:type="dxa" w:w="21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Todos — Art. 18-IV Bis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200 a 2,000 UMA ($23,462–$234,620)</w:t>
            </w:r>
          </w:p>
        </w:tc>
        <w:tc>
          <w:tcPr>
            <w:tcW w:type="dxa" w:w="153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CRÍTICO</w:t>
            </w:r>
          </w:p>
        </w:tc>
      </w:tr>
      <w:tr>
        <w:tc>
          <w:tcPr>
            <w:tcW w:type="dxa" w:w="42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30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Sin constancia de asunción personal de las obligaciones PLD/FT (D2-COR)</w:t>
            </w:r>
          </w:p>
        </w:tc>
        <w:tc>
          <w:tcPr>
            <w:tcW w:type="dxa" w:w="210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Art. 20 LFPIORPI</w:t>
            </w:r>
          </w:p>
        </w:tc>
        <w:tc>
          <w:tcPr>
            <w:tcW w:type="dxa" w:w="200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Base para todo lo demás</w:t>
            </w:r>
          </w:p>
        </w:tc>
        <w:tc>
          <w:tcPr>
            <w:tcW w:type="dxa" w:w="153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CRÍTICO</w:t>
            </w:r>
          </w:p>
        </w:tc>
      </w:tr>
      <w:tr>
        <w:tc>
          <w:tcPr>
            <w:tcW w:type="dxa" w:w="42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3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Avisos omitidos en actos de los incisos b), c) o d) — sociedades mercantiles, fideicomisos y créditos mercantiles, que se avisan sin importar el monto</w:t>
            </w:r>
          </w:p>
        </w:tc>
        <w:tc>
          <w:tcPr>
            <w:tcW w:type="dxa" w:w="21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b), c), d)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10,000 a 65,000 UMA ($1,173,100–$7,625,150) o 10%–100% del valor del acto, lo que resulte mayor</w:t>
            </w:r>
          </w:p>
        </w:tc>
        <w:tc>
          <w:tcPr>
            <w:tcW w:type="dxa" w:w="153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CRÍTICO</w:t>
            </w:r>
          </w:p>
        </w:tc>
      </w:tr>
      <w:tr>
        <w:tc>
          <w:tcPr>
            <w:tcW w:type="dxa" w:w="42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30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Avalúos emitidos con fe pública sobre bienes de 8,025 UMA o más sin identificación ni Aviso</w:t>
            </w:r>
          </w:p>
        </w:tc>
        <w:tc>
          <w:tcPr>
            <w:tcW w:type="dxa" w:w="210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a) — Reglamento, art. 29</w:t>
            </w:r>
          </w:p>
        </w:tc>
        <w:tc>
          <w:tcPr>
            <w:tcW w:type="dxa" w:w="200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10,000 a 65,000 UMA ($1,173,100–$7,625,150) o 10%–100% del valor del acto</w:t>
            </w:r>
          </w:p>
        </w:tc>
        <w:tc>
          <w:tcPr>
            <w:tcW w:type="dxa" w:w="153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42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3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Pólizas sin identificación de la forma de pago en actos del Art. 32 (p. ej., compraventa de acciones) de 8,025 UMA o más</w:t>
            </w:r>
          </w:p>
        </w:tc>
        <w:tc>
          <w:tcPr>
            <w:tcW w:type="dxa" w:w="21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Art. 33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2,000 a 10,000 UMA ($234,620–$1,173,100)</w:t>
            </w:r>
          </w:p>
        </w:tc>
        <w:tc>
          <w:tcPr>
            <w:tcW w:type="dxa" w:w="153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42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30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Ausencia de Manual de Políticas Internas PLD/FT</w:t>
            </w:r>
          </w:p>
        </w:tc>
        <w:tc>
          <w:tcPr>
            <w:tcW w:type="dxa" w:w="210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Art. 18-VIII</w:t>
            </w:r>
          </w:p>
        </w:tc>
        <w:tc>
          <w:tcPr>
            <w:tcW w:type="dxa" w:w="200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200 a 2,000 UMA ($23,462–$234,620)</w:t>
            </w:r>
          </w:p>
        </w:tc>
        <w:tc>
          <w:tcPr>
            <w:tcW w:type="dxa" w:w="153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42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33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Sin expedientes de identificación (KYC) de clientes con actos recientes</w:t>
            </w:r>
          </w:p>
        </w:tc>
        <w:tc>
          <w:tcPr>
            <w:tcW w:type="dxa" w:w="21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Art. 18-I a III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200 a 2,000 UMA ($23,462–$234,620)</w:t>
            </w:r>
          </w:p>
        </w:tc>
        <w:tc>
          <w:tcPr>
            <w:tcW w:type="dxa" w:w="153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42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330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Sin evaluación con enfoque basado en riesgos ni identificación del beneficiario controlador</w:t>
            </w:r>
          </w:p>
        </w:tc>
        <w:tc>
          <w:tcPr>
            <w:tcW w:type="dxa" w:w="210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Art. 18-III y VII</w:t>
            </w:r>
          </w:p>
        </w:tc>
        <w:tc>
          <w:tcPr>
            <w:tcW w:type="dxa" w:w="200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200 a 2,000 UMA ($23,462–$234,620)</w:t>
            </w:r>
          </w:p>
        </w:tc>
        <w:tc>
          <w:tcPr>
            <w:tcW w:type="dxa" w:w="153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42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33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Sin Política de Personas Políticamente Expuestas (PEP's)</w:t>
            </w:r>
          </w:p>
        </w:tc>
        <w:tc>
          <w:tcPr>
            <w:tcW w:type="dxa" w:w="21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Art. 18-VIII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200 a 2,000 UMA ($23,462–$234,620)</w:t>
            </w:r>
          </w:p>
        </w:tc>
        <w:tc>
          <w:tcPr>
            <w:tcW w:type="dxa" w:w="153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42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330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Sin programa anual de capacitación ni procedimiento de selección de personal</w:t>
            </w:r>
          </w:p>
        </w:tc>
        <w:tc>
          <w:tcPr>
            <w:tcW w:type="dxa" w:w="210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Art. 18-IX</w:t>
            </w:r>
          </w:p>
        </w:tc>
        <w:tc>
          <w:tcPr>
            <w:tcW w:type="dxa" w:w="200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200 a 2,000 UMA ($23,462–$234,620)</w:t>
            </w:r>
          </w:p>
        </w:tc>
        <w:tc>
          <w:tcPr>
            <w:tcW w:type="dxa" w:w="153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MEDIO</w:t>
            </w:r>
          </w:p>
        </w:tc>
      </w:tr>
      <w:tr>
        <w:tc>
          <w:tcPr>
            <w:tcW w:type="dxa" w:w="42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330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Sin política de resguardo documental a 10 años</w:t>
            </w:r>
          </w:p>
        </w:tc>
        <w:tc>
          <w:tcPr>
            <w:tcW w:type="dxa" w:w="210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Art. 18-IV</w:t>
            </w:r>
          </w:p>
        </w:tc>
        <w:tc>
          <w:tcPr>
            <w:tcW w:type="dxa" w:w="200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200 a 2,000 UMA ($23,462–$234,620)</w:t>
            </w:r>
          </w:p>
        </w:tc>
        <w:tc>
          <w:tcPr>
            <w:tcW w:type="dxa" w:w="153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MEDIO</w:t>
            </w:r>
          </w:p>
        </w:tc>
      </w:tr>
      <w:tr>
        <w:tc>
          <w:tcPr>
            <w:tcW w:type="dxa" w:w="42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330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Sin mecanismos automatizados de monitoreo (exigibles a más tardar el 1 de junio de 2027)</w:t>
            </w:r>
          </w:p>
        </w:tc>
        <w:tc>
          <w:tcPr>
            <w:tcW w:type="dxa" w:w="210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Art. 18-X</w:t>
            </w:r>
          </w:p>
        </w:tc>
        <w:tc>
          <w:tcPr>
            <w:tcW w:type="dxa" w:w="200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200 a 2,000 UMA ($23,462–$234,620)</w:t>
            </w:r>
          </w:p>
        </w:tc>
        <w:tc>
          <w:tcPr>
            <w:tcW w:type="dxa" w:w="153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MEDIO</w:t>
            </w:r>
          </w:p>
        </w:tc>
      </w:tr>
    </w:tbl>
    <w:p>
      <w:pPr>
        <w:pBdr>
          <w:bottom w:val="single" w:color="B08D57" w:sz="6" w:space="2"/>
        </w:pBdr>
        <w:spacing w:after="14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III. Marco normativo aplicable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La Correduría se ubica en el supuesto de sujeción de la LFPIORPI en la Fracción XII, Apartado B, del artículo 17 — servicios de fe pública prestados por corredores públicos — respecto de los actos que formalice relacionados con: avalúos realizados con fe pública sobre bienes con valor igual o superior a 8,025 UMA (inciso a); constitución, modificación patrimonial, fusión o escisión de personas morales mercantiles y compraventa de sus acciones o partes sociales (inciso b); constitución, modificación o cesión de derechos de fideicomisos en los que pueda actuar (inciso c); y contratos de mutuo o crédito mercantil cuando el acreedor no forme parte del sistema financiero (inciso d).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A diferencia del régimen notarial (Apartado A), en los incisos b), c) y d) la Ley no fija monto alguno, por lo que todo acto de esos incisos es objeto de identificación y de Aviso; además, ninguno de los incisos del Apartado B admite la acumulación semestral de actos (art. 19 de las Reglas de Carácter General). El fundamento de este criterio se desarrolla en el Dictamen de Sujeción Normativa (D1-COR).</w:t>
      </w:r>
    </w:p>
    <w:p>
      <w:pPr>
        <w:pBdr>
          <w:bottom w:val="single" w:color="B08D57" w:sz="6" w:space="2"/>
        </w:pBdr>
        <w:spacing w:after="14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IV. Un riesgo adicional que no existe en otros sectores regulados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El incumplimiento del corredor público no se agota en una multa económica. Conforme al artículo 58 LFPIORPI, cuando la Secretaría determina "notorias deficiencias" — reincidencia en las fracciones I a V del artículo 53, o cualquier omisión de Avisos u operación con efectivo prohibida (fracciones VI y VII) — informa a la autoridad competente para supervisar el ejercicio de la fe pública, que en el caso de los corredores es la Secretaría de Economía, para que instaure su propio procedimiento sancionador conforme a la Ley Federal de Correduría Pública, con consecuencias que pueden alcanzar la habilitación. [VERIFICAR: catálogo de sanciones vigente en la Ley Federal de Correduría Pública y su Reglamento.] La regularización no es solo una recomendación de cumplimiento: es una protección directa de la habilitación como corredor.</w:t>
      </w:r>
    </w:p>
    <w:p>
      <w:pPr>
        <w:pBdr>
          <w:bottom w:val="single" w:color="B08D57" w:sz="6" w:space="2"/>
        </w:pBdr>
        <w:spacing w:after="14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V. Actuación espontánea — ventana de oportunidad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Conforme al artículo 55 LFPIORPI, si el Corredor cumple de manera espontánea y ANTES del inicio de las facultades de verificación de la Secretaría, y reconoce expresamente la falta, la autoridad se abstiene de sancionar, por única ocasión, el total de las infracciones; si el beneficio ya se ejerció, reduce hasta un 50% las multas.</w:t>
      </w:r>
    </w:p>
    <w:p/>
    <w:p>
      <w:pPr>
        <w:pBdr>
          <w:top w:val="single" w:color="B08D57" w:sz="4" w:space="4"/>
        </w:pBdr>
        <w:spacing w:before="200"/>
      </w:pPr>
      <w:r>
        <w:rPr>
          <w:rFonts w:ascii="Calibri" w:cs="Calibri" w:eastAsia="Calibri" w:hAnsi="Calibri"/>
          <w:color w:val="808080"/>
          <w:sz w:val="16"/>
          <w:szCs w:val="16"/>
        </w:rPr>
        <w:t xml:space="preserve">CERTUS CONSULTORES  |  Certus PLD  |  Mérida, Yucatán  |  999 163 1363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2026-09-09T01:22:00.191Z</dcterms:created>
  <dcterms:modified xsi:type="dcterms:W3CDTF">2026-09-09T01:22:00.191Z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