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D1-COR </w:t>
            </w:r>
            <w:r>
              <w:rPr>
                <w:rFonts w:ascii="Calibri" w:cs="Calibri" w:eastAsia="Calibri" w:hAnsi="Calibri"/>
                <w:b/>
                <w:bCs/>
                <w:color w:val="FFFFFF"/>
                <w:sz w:val="22"/>
                <w:szCs w:val="22"/>
              </w:rPr>
              <w:t xml:space="preserve">Dictamen de Sujeción Normativa PLD/FT — Corredurías Públicas</w:t>
            </w:r>
          </w:p>
          <w:p>
            <w:pPr>
              <w:spacing w:before="40"/>
            </w:pPr>
            <w:r>
              <w:rPr>
                <w:rFonts w:ascii="Calibri" w:cs="Calibri" w:eastAsia="Calibri" w:hAnsi="Calibri"/>
                <w:color w:val="D9D9D9"/>
                <w:sz w:val="18"/>
                <w:szCs w:val="18"/>
              </w:rPr>
              <w:t xml:space="preserve">Fecha: [Fecha]   │   Correduría: [Denominación de la Correduría]   │   Variante: Correduría Pública — Fracción XII, Apartado B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EDEDED" w:val="clear"/>
            <w:tcMar>
              <w:top w:type="dxa" w:w="80"/>
              <w:left w:type="dxa" w:w="100"/>
              <w:bottom w:type="dxa" w:w="80"/>
              <w:right w:type="dxa" w:w="100"/>
            </w:tcMar>
            <w:vAlign w:val="center"/>
          </w:tcPr>
          <w:p>
            <w:r>
              <w:rPr>
                <w:rFonts w:ascii="Calibri" w:cs="Calibri" w:eastAsia="Calibri" w:hAnsi="Calibri"/>
                <w:b/>
                <w:bCs/>
                <w:sz w:val="21"/>
                <w:szCs w:val="21"/>
              </w:rPr>
              <w:t xml:space="preserve">Correduría analizada:</w:t>
            </w:r>
          </w:p>
        </w:tc>
        <w:tc>
          <w:tcPr>
            <w:tcW w:type="dxa" w:w="6750"/>
            <w:tcMar>
              <w:top w:type="dxa" w:w="80"/>
              <w:left w:type="dxa" w:w="100"/>
              <w:bottom w:type="dxa" w:w="80"/>
              <w:right w:type="dxa" w:w="100"/>
            </w:tcMar>
            <w:vAlign w:val="center"/>
          </w:tcPr>
          <w:p>
            <w:r>
              <w:rPr>
                <w:rFonts w:ascii="Calibri" w:cs="Calibri" w:eastAsia="Calibri" w:hAnsi="Calibri"/>
                <w:b w:val="false"/>
                <w:bCs w:val="false"/>
                <w:sz w:val="21"/>
                <w:szCs w:val="21"/>
              </w:rPr>
              <w:t xml:space="preserve">[Denominación de la Correduría]</w:t>
            </w:r>
          </w:p>
        </w:tc>
      </w:tr>
      <w:tr>
        <w:tc>
          <w:tcPr>
            <w:tcW w:type="dxa" w:w="2600"/>
            <w:shd w:fill="EDEDED" w:val="clear"/>
            <w:tcMar>
              <w:top w:type="dxa" w:w="80"/>
              <w:left w:type="dxa" w:w="100"/>
              <w:bottom w:type="dxa" w:w="80"/>
              <w:right w:type="dxa" w:w="100"/>
            </w:tcMar>
            <w:vAlign w:val="center"/>
          </w:tcPr>
          <w:p>
            <w:r>
              <w:rPr>
                <w:rFonts w:ascii="Calibri" w:cs="Calibri" w:eastAsia="Calibri" w:hAnsi="Calibri"/>
                <w:b/>
                <w:bCs/>
                <w:sz w:val="21"/>
                <w:szCs w:val="21"/>
              </w:rPr>
              <w:t xml:space="preserve">Corredor Público Titular:</w:t>
            </w:r>
          </w:p>
        </w:tc>
        <w:tc>
          <w:tcPr>
            <w:tcW w:type="dxa" w:w="6750"/>
            <w:tcMar>
              <w:top w:type="dxa" w:w="80"/>
              <w:left w:type="dxa" w:w="100"/>
              <w:bottom w:type="dxa" w:w="80"/>
              <w:right w:type="dxa" w:w="100"/>
            </w:tcMar>
            <w:vAlign w:val="center"/>
          </w:tcPr>
          <w:p>
            <w:r>
              <w:rPr>
                <w:rFonts w:ascii="Calibri" w:cs="Calibri" w:eastAsia="Calibri" w:hAnsi="Calibri"/>
                <w:b w:val="false"/>
                <w:bCs w:val="false"/>
                <w:sz w:val="21"/>
                <w:szCs w:val="21"/>
              </w:rPr>
              <w:t xml:space="preserve">[Nombre del Corredor Público Titular]</w:t>
            </w:r>
          </w:p>
        </w:tc>
      </w:tr>
      <w:tr>
        <w:tc>
          <w:tcPr>
            <w:tcW w:type="dxa" w:w="2600"/>
            <w:shd w:fill="EDEDED" w:val="clear"/>
            <w:tcMar>
              <w:top w:type="dxa" w:w="80"/>
              <w:left w:type="dxa" w:w="100"/>
              <w:bottom w:type="dxa" w:w="80"/>
              <w:right w:type="dxa" w:w="100"/>
            </w:tcMar>
            <w:vAlign w:val="center"/>
          </w:tcPr>
          <w:p>
            <w:r>
              <w:rPr>
                <w:rFonts w:ascii="Calibri" w:cs="Calibri" w:eastAsia="Calibri" w:hAnsi="Calibri"/>
                <w:b/>
                <w:bCs/>
                <w:sz w:val="21"/>
                <w:szCs w:val="21"/>
              </w:rPr>
              <w:t xml:space="preserve">No. de Correduría y plaza:</w:t>
            </w:r>
          </w:p>
        </w:tc>
        <w:tc>
          <w:tcPr>
            <w:tcW w:type="dxa" w:w="6750"/>
            <w:tcMar>
              <w:top w:type="dxa" w:w="80"/>
              <w:left w:type="dxa" w:w="100"/>
              <w:bottom w:type="dxa" w:w="80"/>
              <w:right w:type="dxa" w:w="100"/>
            </w:tcMar>
            <w:vAlign w:val="center"/>
          </w:tcPr>
          <w:p>
            <w:r>
              <w:rPr>
                <w:rFonts w:ascii="Calibri" w:cs="Calibri" w:eastAsia="Calibri" w:hAnsi="Calibri"/>
                <w:b w:val="false"/>
                <w:bCs w:val="false"/>
                <w:sz w:val="21"/>
                <w:szCs w:val="21"/>
              </w:rPr>
              <w:t xml:space="preserve">Correduría Pública No. [Número] — Plaza de [Entidad federativa]</w:t>
            </w:r>
          </w:p>
        </w:tc>
      </w:tr>
      <w:tr>
        <w:tc>
          <w:tcPr>
            <w:tcW w:type="dxa" w:w="2600"/>
            <w:shd w:fill="EDEDED" w:val="clear"/>
            <w:tcMar>
              <w:top w:type="dxa" w:w="80"/>
              <w:left w:type="dxa" w:w="100"/>
              <w:bottom w:type="dxa" w:w="80"/>
              <w:right w:type="dxa" w:w="100"/>
            </w:tcMar>
            <w:vAlign w:val="center"/>
          </w:tcPr>
          <w:p>
            <w:r>
              <w:rPr>
                <w:rFonts w:ascii="Calibri" w:cs="Calibri" w:eastAsia="Calibri" w:hAnsi="Calibri"/>
                <w:b/>
                <w:bCs/>
                <w:sz w:val="21"/>
                <w:szCs w:val="21"/>
              </w:rPr>
              <w:t xml:space="preserve">RFC:</w:t>
            </w:r>
          </w:p>
        </w:tc>
        <w:tc>
          <w:tcPr>
            <w:tcW w:type="dxa" w:w="6750"/>
            <w:tcMar>
              <w:top w:type="dxa" w:w="80"/>
              <w:left w:type="dxa" w:w="100"/>
              <w:bottom w:type="dxa" w:w="80"/>
              <w:right w:type="dxa" w:w="100"/>
            </w:tcMar>
            <w:vAlign w:val="center"/>
          </w:tcPr>
          <w:p>
            <w:r>
              <w:rPr>
                <w:rFonts w:ascii="Calibri" w:cs="Calibri" w:eastAsia="Calibri" w:hAnsi="Calibri"/>
                <w:b w:val="false"/>
                <w:bCs w:val="false"/>
                <w:sz w:val="21"/>
                <w:szCs w:val="21"/>
              </w:rPr>
              <w:t xml:space="preserve">[RFC]</w:t>
            </w:r>
          </w:p>
        </w:tc>
      </w:tr>
      <w:tr>
        <w:tc>
          <w:tcPr>
            <w:tcW w:type="dxa" w:w="2600"/>
            <w:shd w:fill="EDEDED" w:val="clear"/>
            <w:tcMar>
              <w:top w:type="dxa" w:w="80"/>
              <w:left w:type="dxa" w:w="100"/>
              <w:bottom w:type="dxa" w:w="80"/>
              <w:right w:type="dxa" w:w="100"/>
            </w:tcMar>
            <w:vAlign w:val="center"/>
          </w:tcPr>
          <w:p>
            <w:r>
              <w:rPr>
                <w:rFonts w:ascii="Calibri" w:cs="Calibri" w:eastAsia="Calibri" w:hAnsi="Calibri"/>
                <w:b/>
                <w:bCs/>
                <w:sz w:val="21"/>
                <w:szCs w:val="21"/>
              </w:rPr>
              <w:t xml:space="preserve">Elaboró:</w:t>
            </w:r>
          </w:p>
        </w:tc>
        <w:tc>
          <w:tcPr>
            <w:tcW w:type="dxa" w:w="6750"/>
            <w:tcMar>
              <w:top w:type="dxa" w:w="80"/>
              <w:left w:type="dxa" w:w="100"/>
              <w:bottom w:type="dxa" w:w="80"/>
              <w:right w:type="dxa" w:w="100"/>
            </w:tcMar>
            <w:vAlign w:val="center"/>
          </w:tcPr>
          <w:p>
            <w:r>
              <w:rPr>
                <w:rFonts w:ascii="Calibri" w:cs="Calibri" w:eastAsia="Calibri" w:hAnsi="Calibri"/>
                <w:b w:val="false"/>
                <w:bCs w:val="false"/>
                <w:sz w:val="21"/>
                <w:szCs w:val="21"/>
              </w:rPr>
              <w:t xml:space="preserve">CERTUS CONSULTORES │ Certus PLD</w:t>
            </w:r>
          </w:p>
        </w:tc>
      </w:tr>
      <w:tr>
        <w:tc>
          <w:tcPr>
            <w:tcW w:type="dxa" w:w="2600"/>
            <w:shd w:fill="EDEDED" w:val="clear"/>
            <w:tcMar>
              <w:top w:type="dxa" w:w="80"/>
              <w:left w:type="dxa" w:w="100"/>
              <w:bottom w:type="dxa" w:w="80"/>
              <w:right w:type="dxa" w:w="100"/>
            </w:tcMar>
            <w:vAlign w:val="center"/>
          </w:tcPr>
          <w:p>
            <w:r>
              <w:rPr>
                <w:rFonts w:ascii="Calibri" w:cs="Calibri" w:eastAsia="Calibri" w:hAnsi="Calibri"/>
                <w:b/>
                <w:bCs/>
                <w:sz w:val="21"/>
                <w:szCs w:val="21"/>
              </w:rPr>
              <w:t xml:space="preserve">Fecha:</w:t>
            </w:r>
          </w:p>
        </w:tc>
        <w:tc>
          <w:tcPr>
            <w:tcW w:type="dxa" w:w="6750"/>
            <w:tcMar>
              <w:top w:type="dxa" w:w="80"/>
              <w:left w:type="dxa" w:w="100"/>
              <w:bottom w:type="dxa" w:w="80"/>
              <w:right w:type="dxa" w:w="100"/>
            </w:tcMar>
            <w:vAlign w:val="center"/>
          </w:tcPr>
          <w:p>
            <w:r>
              <w:rPr>
                <w:rFonts w:ascii="Calibri" w:cs="Calibri" w:eastAsia="Calibri" w:hAnsi="Calibri"/>
                <w:b w:val="false"/>
                <w:bCs w:val="false"/>
                <w:sz w:val="21"/>
                <w:szCs w:val="21"/>
              </w:rPr>
              <w:t xml:space="preserve">[Fecha]</w:t>
            </w:r>
          </w:p>
        </w:tc>
      </w:tr>
      <w:tr>
        <w:tc>
          <w:tcPr>
            <w:tcW w:type="dxa" w:w="2600"/>
            <w:shd w:fill="EDEDED" w:val="clear"/>
            <w:tcMar>
              <w:top w:type="dxa" w:w="80"/>
              <w:left w:type="dxa" w:w="100"/>
              <w:bottom w:type="dxa" w:w="80"/>
              <w:right w:type="dxa" w:w="100"/>
            </w:tcMar>
            <w:vAlign w:val="center"/>
          </w:tcPr>
          <w:p>
            <w:r>
              <w:rPr>
                <w:rFonts w:ascii="Calibri" w:cs="Calibri" w:eastAsia="Calibri" w:hAnsi="Calibri"/>
                <w:b/>
                <w:bCs/>
                <w:sz w:val="21"/>
                <w:szCs w:val="21"/>
              </w:rPr>
              <w:t xml:space="preserve">Vigencia normativa:</w:t>
            </w:r>
          </w:p>
        </w:tc>
        <w:tc>
          <w:tcPr>
            <w:tcW w:type="dxa" w:w="6750"/>
            <w:tcMar>
              <w:top w:type="dxa" w:w="80"/>
              <w:left w:type="dxa" w:w="100"/>
              <w:bottom w:type="dxa" w:w="80"/>
              <w:right w:type="dxa" w:w="100"/>
            </w:tcMar>
            <w:vAlign w:val="center"/>
          </w:tcPr>
          <w:p>
            <w:r>
              <w:rPr>
                <w:rFonts w:ascii="Calibri" w:cs="Calibri" w:eastAsia="Calibri" w:hAnsi="Calibri"/>
                <w:b w:val="false"/>
                <w:bCs w:val="false"/>
                <w:sz w:val="21"/>
                <w:szCs w:val="21"/>
              </w:rPr>
              <w:t xml:space="preserve">LFPIORPI reforma DOF 16/07/2025 — Reglamento DOF 27/03/2026 — Acuerdo 115/2026 (DOF 07/08/2026) — Ley Federal de Correduría Pública</w:t>
            </w:r>
          </w:p>
        </w:tc>
      </w:tr>
    </w:tbl>
    <w:p/>
    <w:p>
      <w:pPr>
        <w:pBdr>
          <w:bottom w:val="single" w:color="B08D57" w:sz="6" w:space="2"/>
        </w:pBdr>
        <w:spacing w:after="140" w:before="260"/>
      </w:pPr>
      <w:r>
        <w:rPr>
          <w:rFonts w:ascii="Calibri" w:cs="Calibri" w:eastAsia="Calibri" w:hAnsi="Calibri"/>
          <w:b/>
          <w:bCs/>
          <w:color w:val="1F3864"/>
          <w:sz w:val="24"/>
          <w:szCs w:val="24"/>
        </w:rPr>
        <w:t xml:space="preserve">I. Antecedentes normativos</w:t>
      </w:r>
    </w:p>
    <w:p>
      <w:pPr>
        <w:spacing w:after="120"/>
      </w:pPr>
      <w:r>
        <w:rPr>
          <w:rFonts w:ascii="Calibri" w:cs="Calibri" w:eastAsia="Calibri" w:hAnsi="Calibri"/>
          <w:sz w:val="21"/>
          <w:szCs w:val="21"/>
        </w:rPr>
        <w:t xml:space="preserve">La Ley Federal para la Prevención e Identificación de Operaciones con Recursos de Procedencia Ilícita (LFPIORPI) fue publicada en el Diario Oficial de la Federación el 17 de octubre de 2012. La reforma publicada el 16 de julio de 2025 reformuló el Apartado B de la Fracción XII del artículo 17 — que ahora comprende los actos u operaciones celebrados ante las y los corredores públicos, las protocolizaciones y cualquier otro acto que conlleve su formalización —, actualizó el umbral de los avalúos y el alcance del inciso de fideicomisos, y amplió las obligaciones del artículo 18. El Reglamento fue reformado mediante decreto publicado en el DOF el 27 de marzo de 2026 (incluido su artículo 29, relativo a los avalúos de los corredores), y el Acuerdo 115/2026 (DOF 07/08/2026) modificó las Reglas de Carácter General (RCG).</w:t>
      </w:r>
    </w:p>
    <w:p>
      <w:pPr>
        <w:pBdr>
          <w:bottom w:val="single" w:color="B08D57" w:sz="6" w:space="2"/>
        </w:pBdr>
        <w:spacing w:after="140" w:before="260"/>
      </w:pPr>
      <w:r>
        <w:rPr>
          <w:rFonts w:ascii="Calibri" w:cs="Calibri" w:eastAsia="Calibri" w:hAnsi="Calibri"/>
          <w:b/>
          <w:bCs/>
          <w:color w:val="1F3864"/>
          <w:sz w:val="24"/>
          <w:szCs w:val="24"/>
        </w:rPr>
        <w:t xml:space="preserve">II. Sujeción — Fracción XII, Apartado B: Fe Pública de Corredores Públicos</w:t>
      </w:r>
    </w:p>
    <w:p>
      <w:pPr>
        <w:spacing w:after="80" w:before="160"/>
      </w:pPr>
      <w:r>
        <w:rPr>
          <w:rFonts w:ascii="Calibri" w:cs="Calibri" w:eastAsia="Calibri" w:hAnsi="Calibri"/>
          <w:b/>
          <w:bCs/>
          <w:color w:val="0A1628"/>
          <w:sz w:val="21"/>
          <w:szCs w:val="21"/>
        </w:rPr>
        <w:t xml:space="preserve">2.1 Supuesto normativo</w:t>
      </w:r>
    </w:p>
    <w:p>
      <w:pPr>
        <w:spacing w:after="120"/>
      </w:pPr>
      <w:r>
        <w:rPr>
          <w:rFonts w:ascii="Calibri" w:cs="Calibri" w:eastAsia="Calibri" w:hAnsi="Calibri"/>
          <w:sz w:val="21"/>
          <w:szCs w:val="21"/>
        </w:rPr>
        <w:t xml:space="preserve">El Apartado B de la Fracción XII del artículo 17 LFPIORPI sujeta a los corredores públicos, respecto de los actos u operaciones celebrados ante ellos, en cuatro incisos: (a) la realización de avalúos sobre bienes con valor igual o superior al equivalente a 8,025 UMA; (b) la constitución de personas morales mercantiles, su modificación patrimonial derivada de aumento o disminución de capital social, fusión o escisión, así como la compraventa de acciones y partes sociales de personas morales mercantiles; (c) la constitución, modificación o cesión de derechos de fideicomisos en los que, de acuerdo con la legislación aplicable, puedan actuar, salvo los que se constituyan para garantizar algún crédito a favor de instituciones del sistema financiero; y (d) el otorgamiento de contratos de mutuo mercantil o créditos mercantiles en los que, de acuerdo con la legislación aplicable, puedan actuar y en los que el acreedor no forme parte del sistema financiero.</w:t>
      </w:r>
    </w:p>
    <w:p>
      <w:pPr>
        <w:spacing w:after="120"/>
      </w:pPr>
      <w:r>
        <w:rPr>
          <w:rFonts w:ascii="Calibri" w:cs="Calibri" w:eastAsia="Calibri" w:hAnsi="Calibri"/>
          <w:b/>
          <w:sz w:val="21"/>
          <w:szCs w:val="21"/>
        </w:rPr>
        <w:t xml:space="preserve">Alcance del inciso a).</w:t>
      </w:r>
      <w:r>
        <w:rPr>
          <w:rFonts w:ascii="Calibri" w:cs="Calibri" w:eastAsia="Calibri" w:hAnsi="Calibri"/>
          <w:b w:val="0"/>
          <w:sz w:val="21"/>
          <w:szCs w:val="21"/>
        </w:rPr>
        <w:t xml:space="preserve"> Conforme al artículo 29 del Reglamento (reformado DOF 27/03/2026), el corredor observa el inciso a) cuando, en la realización de avalúos sobre los bienes respectivos, utilice la fe pública. En consecuencia, cada expediente de avalúo debe dejar constancia de si el avalúo se emitió con fe pública (D7-COR, Sección G.1).</w:t>
      </w:r>
    </w:p>
    <w:p>
      <w:pPr>
        <w:spacing w:after="80" w:before="160"/>
      </w:pPr>
      <w:r>
        <w:rPr>
          <w:rFonts w:ascii="Calibri" w:cs="Calibri" w:eastAsia="Calibri" w:hAnsi="Calibri"/>
          <w:b/>
          <w:bCs/>
          <w:color w:val="0A1628"/>
          <w:sz w:val="21"/>
          <w:szCs w:val="21"/>
        </w:rPr>
        <w:t xml:space="preserve">2.2 Umbrales de identificación y aviso por inciso — Apartado B (UMA 2026: $117.31 MXN)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50"/>
      </w:tblGrid>
      <w:tr>
        <w:trPr>
          <w:tblHeader/>
        </w:trPr>
        <w:tc>
          <w:tcPr>
            <w:tcW w:type="dxa" w:w="36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Inciso / Acto jurídico</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Identificación y Aviso</w:t>
            </w:r>
          </w:p>
        </w:tc>
        <w:tc>
          <w:tcPr>
            <w:tcW w:type="dxa" w:w="315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Equivalente MXN 2026 (aprox.)</w:t>
            </w:r>
          </w:p>
        </w:tc>
      </w:tr>
      <w:tr>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a) Avalúos con fe pública sobre bienes con valor igual o superior a 8,025 UMA (Reglamento, art. 29)</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Desde 8,025 UMA, avalúo por avalúo. Por debajo no da lugar a obligación alguna (Art. 17, penúltimo párrafo)</w:t>
            </w:r>
          </w:p>
        </w:tc>
        <w:tc>
          <w:tcPr>
            <w:tcW w:type="dxa" w:w="315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$941,413 MXN</w:t>
            </w:r>
          </w:p>
        </w:tc>
      </w:tr>
      <w:tr>
        <w:tc>
          <w:tcPr>
            <w:tcW w:type="dxa" w:w="360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b) Constitución de personas morales mercantiles; aumento o disminución de capital; fusión; escisión; compraventa de acciones y partes sociales</w:t>
            </w:r>
          </w:p>
        </w:tc>
        <w:tc>
          <w:tcPr>
            <w:tcW w:type="dxa" w:w="260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SIEMPRE (sin umbral)</w:t>
            </w:r>
          </w:p>
        </w:tc>
        <w:tc>
          <w:tcPr>
            <w:tcW w:type="dxa" w:w="315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Todo acto</w:t>
            </w:r>
          </w:p>
        </w:tc>
      </w:tr>
      <w:tr>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c) Constitución, modificación o cesión de derechos de fideicomisos en que pueda actuar (salvo garantía de créditos a favor del sistema financiero)</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SIEMPRE (sin umbral)</w:t>
            </w:r>
          </w:p>
        </w:tc>
        <w:tc>
          <w:tcPr>
            <w:tcW w:type="dxa" w:w="315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Todo acto</w:t>
            </w:r>
          </w:p>
        </w:tc>
      </w:tr>
      <w:tr>
        <w:tc>
          <w:tcPr>
            <w:tcW w:type="dxa" w:w="360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d) Mutuo mercantil o créditos mercantiles, cuando el acreedor no forme parte del sistema financiero</w:t>
            </w:r>
          </w:p>
        </w:tc>
        <w:tc>
          <w:tcPr>
            <w:tcW w:type="dxa" w:w="260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SIEMPRE (sin umbral)</w:t>
            </w:r>
          </w:p>
        </w:tc>
        <w:tc>
          <w:tcPr>
            <w:tcW w:type="dxa" w:w="315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Todo otorgamiento</w:t>
            </w:r>
          </w:p>
        </w:tc>
      </w:tr>
      <w:tr>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Seguimiento y acumulación semestral de actos (Art. 17, penúltimo párrafo)</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NO APLICA a ningún inciso del Apartado B (Art. 19 RCG)</w:t>
            </w:r>
          </w:p>
        </w:tc>
        <w:tc>
          <w:tcPr>
            <w:tcW w:type="dxa" w:w="315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w:t>
            </w:r>
          </w:p>
        </w:tc>
      </w:tr>
    </w:tbl>
    <w:p>
      <w:pPr>
        <w:spacing w:after="80" w:before="160"/>
      </w:pPr>
      <w:r>
        <w:rPr>
          <w:rFonts w:ascii="Calibri" w:cs="Calibri" w:eastAsia="Calibri" w:hAnsi="Calibri"/>
          <w:b/>
          <w:bCs/>
          <w:color w:val="0A1628"/>
          <w:sz w:val="21"/>
          <w:szCs w:val="21"/>
        </w:rPr>
        <w:t xml:space="preserve">2.3 Fundamento del criterio "sin umbral" en los incisos b), c) y d)</w:t>
      </w:r>
    </w:p>
    <w:p>
      <w:pPr>
        <w:spacing w:after="120"/>
      </w:pPr>
      <w:r>
        <w:rPr>
          <w:rFonts w:ascii="Calibri" w:cs="Calibri" w:eastAsia="Calibri" w:hAnsi="Calibri"/>
          <w:sz w:val="21"/>
          <w:szCs w:val="21"/>
        </w:rPr>
        <w:t xml:space="preserve">El Apartado A (notarios) dice expresamente, inciso por inciso, cuándo el acto "siempre" es objeto de Aviso y qué monto aplica a los demás. El Apartado B sigue otra técnica: enumera los cuatro incisos y cierra con una regla general conforme a la cual serán objeto de Aviso ante la Secretaría los actos u operaciones anteriores "en términos de los incisos de este apartado". Solo el inciso a) contiene un monto (8,025 UMA); los incisos b), c) y d) no fijan umbral alguno, y ni el Reglamento ni las RCG reformadas por el Acuerdo 115/2026 establecen uno.</w:t>
      </w:r>
    </w:p>
    <w:p>
      <w:pPr>
        <w:spacing w:after="120"/>
      </w:pPr>
      <w:r>
        <w:rPr>
          <w:rFonts w:ascii="Calibri" w:cs="Calibri" w:eastAsia="Calibri" w:hAnsi="Calibri"/>
          <w:sz w:val="21"/>
          <w:szCs w:val="21"/>
        </w:rPr>
        <w:t xml:space="preserve">A ello se suma que el artículo 19 de las RCG excluye expresamente "todos los incisos del Apartado B" del seguimiento y acumulación de actos, lo que es congruente con un régimen en el que cada acto se evalúa — y, en los incisos b), c) y d), se avisa — por sí mismo. Criterio del Programa Certus PLD: todo acto formalizado de los incisos b), c) y d) se identifica y se avisa, cualquiera que sea su monto; los avalúos del inciso a) se identifican y avisan desde 8,025 UMA, avalúo por avalúo, sin acumulación.</w:t>
      </w:r>
    </w:p>
    <w:p>
      <w:pPr>
        <w:spacing w:after="120"/>
      </w:pPr>
      <w:r>
        <w:rPr>
          <w:rFonts w:ascii="Calibri" w:cs="Calibri" w:eastAsia="Calibri" w:hAnsi="Calibri"/>
          <w:i/>
          <w:iCs/>
          <w:color w:val="595959"/>
          <w:sz w:val="19"/>
          <w:szCs w:val="19"/>
        </w:rPr>
        <w:t xml:space="preserve">Nota: el criterio anterior es la interpretación del Programa a partir del texto vigente de la Ley, el Reglamento y las RCG. Si la UIF o el SAT emiten guías, formatos o criterios que fijen montos distintos para los incisos b), c) o d), este Dictamen y las matrices de D5-COR, D7-COR y D12-COR deben actualizarse.</w:t>
      </w:r>
    </w:p>
    <w:p>
      <w:pPr>
        <w:spacing w:after="80" w:before="160"/>
      </w:pPr>
      <w:r>
        <w:rPr>
          <w:rFonts w:ascii="Calibri" w:cs="Calibri" w:eastAsia="Calibri" w:hAnsi="Calibri"/>
          <w:b/>
          <w:bCs/>
          <w:color w:val="0A1628"/>
          <w:sz w:val="21"/>
          <w:szCs w:val="21"/>
        </w:rPr>
        <w:t xml:space="preserve">2.4 Diferencias relevantes con el régimen notarial (Apartado A)</w:t>
      </w:r>
    </w:p>
    <w:p>
      <w:pPr>
        <w:spacing w:after="120"/>
      </w:pPr>
      <w:r>
        <w:rPr>
          <w:rFonts w:ascii="Calibri" w:cs="Calibri" w:eastAsia="Calibri" w:hAnsi="Calibri"/>
          <w:sz w:val="21"/>
          <w:szCs w:val="21"/>
        </w:rPr>
        <w:t xml:space="preserve">• No existen incisos de inmuebles ni de poderes irrevocables: el corredor no puede actuar como fedatario en actos sobre inmuebles (art. 6, fr. V, de la Ley Federal de Correduría Pública) y su fe pública en materia societaria se refiere a los actos de la Ley General de Sociedades Mercantiles, incluida la representación orgánica (art. 6, fr. VI, LFCP).</w:t>
      </w:r>
    </w:p>
    <w:p>
      <w:pPr>
        <w:spacing w:after="120"/>
      </w:pPr>
      <w:r>
        <w:rPr>
          <w:rFonts w:ascii="Calibri" w:cs="Calibri" w:eastAsia="Calibri" w:hAnsi="Calibri"/>
          <w:sz w:val="21"/>
          <w:szCs w:val="21"/>
        </w:rPr>
        <w:t xml:space="preserve">• El inciso de fideicomisos comprende la cesión de derechos y no se limita a los traslativos de dominio o de garantía; la única excepción es la garantía de créditos a favor de instituciones del sistema financiero (no incluye la excepción de organismos públicos de vivienda del Apartado A).</w:t>
      </w:r>
    </w:p>
    <w:p>
      <w:pPr>
        <w:spacing w:after="120"/>
      </w:pPr>
      <w:r>
        <w:rPr>
          <w:rFonts w:ascii="Calibri" w:cs="Calibri" w:eastAsia="Calibri" w:hAnsi="Calibri"/>
          <w:sz w:val="21"/>
          <w:szCs w:val="21"/>
        </w:rPr>
        <w:t xml:space="preserve">• El inciso de mutuos se limita al mutuo y crédito mercantiles, y tampoco prevé la excepción de organismos públicos de vivienda.</w:t>
      </w:r>
    </w:p>
    <w:p>
      <w:pPr>
        <w:spacing w:after="120"/>
      </w:pPr>
      <w:r>
        <w:rPr>
          <w:rFonts w:ascii="Calibri" w:cs="Calibri" w:eastAsia="Calibri" w:hAnsi="Calibri"/>
          <w:sz w:val="21"/>
          <w:szCs w:val="21"/>
        </w:rPr>
        <w:t xml:space="preserve">• El canal fiscal alterno para presentar Avisos (art. 24, último párrafo) es exclusivo de los notarios para el inciso a) del Apartado A; el corredor presenta todos sus Avisos e informes en el Portal en Internet.</w:t>
      </w:r>
    </w:p>
    <w:p>
      <w:pPr>
        <w:spacing w:after="120"/>
      </w:pPr>
      <w:r>
        <w:rPr>
          <w:rFonts w:ascii="Calibri" w:cs="Calibri" w:eastAsia="Calibri" w:hAnsi="Calibri"/>
          <w:sz w:val="21"/>
          <w:szCs w:val="21"/>
        </w:rPr>
        <w:t xml:space="preserve">• La autoridad de fe pública a la que se refiere el artículo 58 es federal — la Secretaría de Economía — y no un órgano estatal.</w:t>
      </w:r>
    </w:p>
    <w:p>
      <w:pPr>
        <w:pBdr>
          <w:bottom w:val="single" w:color="B08D57" w:sz="6" w:space="2"/>
        </w:pBdr>
        <w:spacing w:after="140" w:before="260"/>
      </w:pPr>
      <w:r>
        <w:rPr>
          <w:rFonts w:ascii="Calibri" w:cs="Calibri" w:eastAsia="Calibri" w:hAnsi="Calibri"/>
          <w:b/>
          <w:bCs/>
          <w:color w:val="1F3864"/>
          <w:sz w:val="24"/>
          <w:szCs w:val="24"/>
        </w:rPr>
        <w:t xml:space="preserve">III. Identificación del Cliente, del Beneficiario Controlador y del Solicitante</w:t>
      </w:r>
    </w:p>
    <w:p>
      <w:pPr>
        <w:spacing w:after="120"/>
      </w:pPr>
      <w:r>
        <w:rPr>
          <w:rFonts w:ascii="Calibri" w:cs="Calibri" w:eastAsia="Calibri" w:hAnsi="Calibri"/>
          <w:sz w:val="21"/>
          <w:szCs w:val="21"/>
        </w:rPr>
        <w:t xml:space="preserve">Conforme al artículo 18, fracción III, de la Ley (reforma de julio 2025), cuando el cliente sea persona moral, fideicomiso u otra figura jurídica el corredor debe recabar los documentos que permitan identificar a su beneficiario controlador, aplicando el orden de prelación del artículo 23 Quinquies de las RCG (25% o más del capital; control por otros medios; funcionario administrativo de mayor grado) y, cuando sea persona física, debe recabar la declaración acerca de si tiene o no conocimiento de la existencia de un beneficiario controlador y, en su caso, la documentación que permita identificarlo, con las exenciones del artículo 23 Quinquies 2 de las RCG. En los actos del inciso b) esta obligación alcanza a los socios o accionistas fundadores, adquirentes y enajenantes que sean personas morales.</w:t>
      </w:r>
    </w:p>
    <w:p>
      <w:pPr>
        <w:spacing w:after="120"/>
      </w:pPr>
      <w:r>
        <w:rPr>
          <w:rFonts w:ascii="Calibri" w:cs="Calibri" w:eastAsia="Calibri" w:hAnsi="Calibri"/>
          <w:sz w:val="21"/>
          <w:szCs w:val="21"/>
        </w:rPr>
        <w:t xml:space="preserve">Con independencia de la identificación de las partes, el artículo 13 de las RCG — aplicable a los Apartados A y B — obliga a identificar, al momento de realizar el acto, a la persona que solicite materialmente la formalización del instrumento, con los datos del Anexo 3, inciso a), numerales i), ii), ix) y x).</w:t>
      </w:r>
    </w:p>
    <w:p>
      <w:pPr>
        <w:pBdr>
          <w:bottom w:val="single" w:color="B08D57" w:sz="6" w:space="2"/>
        </w:pBdr>
        <w:spacing w:after="140" w:before="260"/>
      </w:pPr>
      <w:r>
        <w:rPr>
          <w:rFonts w:ascii="Calibri" w:cs="Calibri" w:eastAsia="Calibri" w:hAnsi="Calibri"/>
          <w:b/>
          <w:bCs/>
          <w:color w:val="1F3864"/>
          <w:sz w:val="24"/>
          <w:szCs w:val="24"/>
        </w:rPr>
        <w:t xml:space="preserve">IV. Régimen sancionatorio diferenciado</w:t>
      </w:r>
    </w:p>
    <w:p>
      <w:pPr>
        <w:spacing w:after="120"/>
      </w:pPr>
      <w:r>
        <w:rPr>
          <w:rFonts w:ascii="Calibri" w:cs="Calibri" w:eastAsia="Calibri" w:hAnsi="Calibri"/>
          <w:sz w:val="21"/>
          <w:szCs w:val="21"/>
        </w:rPr>
        <w:t xml:space="preserve">Conforme al artículo 58 LFPIORPI, cuando la Secretaría determina que una persona corredora pública ha incurrido en "notorias deficiencias" — definidas como (I) reincidencia en las fracciones I a V del artículo 53, o (II) cualquier violación a las fracciones VI o VII del mismo artículo — informa a la autoridad competente para supervisar el ejercicio de la fe pública, a efecto de que instaure el procedimiento sancionador correspondiente, sin perjuicio de las demás sanciones que procedan conforme a la LFPIORPI. Tratándose de corredores, esa autoridad es la Secretaría de Economía, a la que corresponde la aplicación de la Ley Federal de Correduría Pública (art. 2 LFCP).</w:t>
      </w:r>
    </w:p>
    <w:p>
      <w:pPr>
        <w:spacing w:after="120"/>
      </w:pPr>
      <w:r>
        <w:rPr>
          <w:rFonts w:ascii="Calibri" w:cs="Calibri" w:eastAsia="Calibri" w:hAnsi="Calibri"/>
          <w:i/>
          <w:iCs/>
          <w:color w:val="595959"/>
          <w:sz w:val="19"/>
          <w:szCs w:val="19"/>
        </w:rPr>
        <w:t xml:space="preserve">Las sanciones que puede imponer la Secretaría de Economía — incluida, en su caso, la suspensión o cancelación de la habilitación — se rigen por la Ley Federal de Correduría Pública y su Reglamento, no por la LFPIORPI. A diferencia del notariado, el régimen es uno solo en todo el país, con independencia de la plaza. [VERIFICAR: catálogo y artículos de sanciones vigentes en la LFCP y su Reglamento.]</w:t>
      </w:r>
    </w:p>
    <w:p>
      <w:pPr>
        <w:spacing w:after="120"/>
      </w:pPr>
      <w:r>
        <w:rPr>
          <w:rFonts w:ascii="Calibri" w:cs="Calibri" w:eastAsia="Calibri" w:hAnsi="Calibri"/>
          <w:sz w:val="21"/>
          <w:szCs w:val="21"/>
        </w:rPr>
        <w:t xml:space="preserve">Las multas de la LFPIORPI (art. 54) son: 200 a 2,000 UMA ($23,462 a $234,620 MXN en 2026) por incumplir las obligaciones del artículo 18 o presentar Avisos extemporáneos dentro de los 30 días siguientes al plazo (art. 53, fraccs. I a IV); 2,000 a 10,000 UMA ($234,620 a $1,173,100 MXN) por incumplir el artículo 33 — identificación de la forma de pago en los instrumentos (art. 53, fr. V); y 10,000 a 65,000 UMA ($1,173,100 a $7,625,150 MXN), o del 10% al 100% del valor del acto u operación cuando sea cuantificable en dinero — lo que resulte MAYOR — por omisión de Avisos o por participar en operaciones con efectivo prohibidas por el artículo 32 (art. 53, fraccs. VI y VII). En corredurías, el porcentaje sobre el valor del acto es especialmente relevante en constituciones y aumentos de capital elevados, compraventas de acciones y créditos mercantiles de alto monto.</w:t>
      </w:r>
    </w:p>
    <w:p>
      <w:pPr>
        <w:pBdr>
          <w:bottom w:val="single" w:color="B08D57" w:sz="6" w:space="2"/>
        </w:pBdr>
        <w:spacing w:after="140" w:before="260"/>
      </w:pPr>
      <w:r>
        <w:rPr>
          <w:rFonts w:ascii="Calibri" w:cs="Calibri" w:eastAsia="Calibri" w:hAnsi="Calibri"/>
          <w:b/>
          <w:bCs/>
          <w:color w:val="1F3864"/>
          <w:sz w:val="24"/>
          <w:szCs w:val="24"/>
        </w:rPr>
        <w:t xml:space="preserve">V. Conclusión</w:t>
      </w:r>
    </w:p>
    <w:p>
      <w:pPr>
        <w:spacing w:after="120"/>
      </w:pPr>
      <w:r>
        <w:rPr>
          <w:rFonts w:ascii="Calibri" w:cs="Calibri" w:eastAsia="Calibri" w:hAnsi="Calibri"/>
          <w:sz w:val="21"/>
          <w:szCs w:val="21"/>
        </w:rPr>
        <w:t xml:space="preserve">Con base en el análisis anterior, la Correduría se encuentra sujeta a las obligaciones de la LFPIORPI en la Fracción XII, Apartado B, del artículo 17, respecto de los incisos [listar incisos aplicables conforme a los actos que efectivamente formaliza la Correduría], y deberá cumplir con las obligaciones de los artículos 18 a 24, 32 y 33 de la Ley, su Reglamento y las Reglas de Carácter General. El incumplimiento puede resultar en multas de hasta 65,000 UMA ($7,625,150 MXN) por infracción — o hasta el 100% del valor del acto, si este monto es mayor — y en el procedimiento ante la Secretaría de Economía previsto en el artículo 58, con las consecuencias que determine la Ley Federal de Correduría Pública.</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2026-09-09T01:16:38.549Z</dcterms:created>
  <dcterms:modified xsi:type="dcterms:W3CDTF">2026-09-09T01:16:38.549Z</dcterms:modified>
</cp:coreProperties>
</file>

<file path=docProps/custom.xml><?xml version="1.0" encoding="utf-8"?>
<Properties xmlns="http://schemas.openxmlformats.org/officeDocument/2006/custom-properties" xmlns:vt="http://schemas.openxmlformats.org/officeDocument/2006/docPropsVTypes"/>
</file>