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40"/>
              <w:left w:type="dxa" w:w="160"/>
              <w:bottom w:type="dxa" w:w="140"/>
              <w:right w:type="dxa" w:w="160"/>
            </w:tcMar>
          </w:tcPr>
          <w:p>
            <w:r>
              <w:rPr>
                <w:rFonts w:ascii="Calibri" w:cs="Calibri" w:eastAsia="Calibri" w:hAnsi="Calibri"/>
                <w:b/>
                <w:bCs/>
                <w:color w:val="FFFFFF"/>
                <w:sz w:val="22"/>
                <w:szCs w:val="22"/>
              </w:rPr>
              <w:t xml:space="preserve">CERTUS PLD</w:t>
            </w:r>
            <w:r>
              <w:rPr>
                <w:rFonts w:ascii="Calibri" w:cs="Calibri" w:eastAsia="Calibri" w:hAnsi="Calibri"/>
                <w:color w:val="B08D57"/>
                <w:sz w:val="22"/>
                <w:szCs w:val="22"/>
              </w:rPr>
              <w:t xml:space="preserve">   |   </w:t>
            </w:r>
            <w:r>
              <w:rPr>
                <w:rFonts w:ascii="Calibri" w:cs="Calibri" w:eastAsia="Calibri" w:hAnsi="Calibri"/>
                <w:b/>
                <w:bCs/>
                <w:color w:val="B08D57"/>
                <w:sz w:val="22"/>
                <w:szCs w:val="22"/>
              </w:rPr>
              <w:t xml:space="preserve">D13-COR </w:t>
            </w:r>
            <w:r>
              <w:rPr>
                <w:rFonts w:ascii="Calibri" w:cs="Calibri" w:eastAsia="Calibri" w:hAnsi="Calibri"/>
                <w:b/>
                <w:bCs/>
                <w:color w:val="FFFFFF"/>
                <w:sz w:val="22"/>
                <w:szCs w:val="22"/>
              </w:rPr>
              <w:t xml:space="preserve">Informe de Auditoría Interna Certus PLD — Corredurías Públicas</w:t>
            </w:r>
          </w:p>
          <w:p>
            <w:pPr>
              <w:spacing w:before="40"/>
            </w:pPr>
            <w:r>
              <w:rPr>
                <w:rFonts w:ascii="Calibri" w:cs="Calibri" w:eastAsia="Calibri" w:hAnsi="Calibri"/>
                <w:color w:val="D9D9D9"/>
                <w:sz w:val="18"/>
                <w:szCs w:val="18"/>
              </w:rPr>
              <w:t xml:space="preserve">Correduría: [Denominación de la Correduría]   │   Variante: Correduría Pública — Fracción XII, Apartado B LFPIORPI</w:t>
            </w:r>
          </w:p>
        </w:tc>
      </w:tr>
    </w:tbl>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Correduría: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[Denominación de la Correduría]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Periodo auditado: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[Mes/Año] al [Mes/Año]</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o área auditora: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[Área de auditoría interna independiente del Corredor Titular / Persona auditora externa independiente]</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auditora externa independiente (si aplica):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[Nombre y acreditación: título y cédula, al menos 3 años de experiencia, certificación UIF vigente — Art. 45 RCG]</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Fecha del informe: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Tipo de auditoría: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Programada    [ ] Especial    [ ] Por requerimiento de autoridad</w:t>
            </w:r>
          </w:p>
        </w:tc>
      </w:tr>
    </w:tbl>
    <w:p/>
    <w:p>
      <w:pPr>
        <w:pBdr>
          <w:bottom w:val="single" w:color="B08D57" w:sz="6" w:space="2"/>
        </w:pBdr>
        <w:spacing w:after="120" w:before="240"/>
      </w:pPr>
      <w:r>
        <w:rPr>
          <w:rFonts w:ascii="Calibri" w:cs="Calibri" w:eastAsia="Calibri" w:hAnsi="Calibri"/>
          <w:b/>
          <w:bCs/>
          <w:color w:val="1F3864"/>
          <w:sz w:val="23"/>
          <w:szCs w:val="23"/>
        </w:rPr>
        <w:t xml:space="preserve">I. Objetivo y Alcance</w:t>
      </w:r>
    </w:p>
    <w:p>
      <w:pPr>
        <w:spacing w:after="110"/>
      </w:pPr>
      <w:r>
        <w:rPr>
          <w:rFonts w:ascii="Calibri" w:cs="Calibri" w:eastAsia="Calibri" w:hAnsi="Calibri"/>
          <w:i/>
          <w:iCs/>
          <w:color w:val="595959"/>
          <w:sz w:val="18"/>
          <w:szCs w:val="18"/>
        </w:rPr>
        <w:t xml:space="preserve">El presente informe documenta los resultados de la auditoría practicada al Programa Certus PLD de la Correduría, conforme al artículo 18, fracción XI, de la LFPIORPI. El objetivo es verificar que los procedimientos, controles y registros del programa funcionen correctamente y cumplan con la normatividad vigente, con atención especial a que todos los actos de los incisos b), c) y d) se hayan avisado y a que los avalúos con fe pública de 8,025 UMA o más se hayan identificado y avisado uno por uno.</w:t>
      </w:r>
    </w:p>
    <w:p>
      <w:pPr>
        <w:spacing w:after="110"/>
      </w:pPr>
      <w:r>
        <w:rPr>
          <w:rFonts w:ascii="Calibri" w:cs="Calibri" w:eastAsia="Calibri" w:hAnsi="Calibri"/>
          <w:i/>
          <w:iCs/>
          <w:color w:val="595959"/>
          <w:sz w:val="18"/>
          <w:szCs w:val="18"/>
        </w:rPr>
        <w:t xml:space="preserve">Marco de la revisión: la auditoría es anual, del 1 de enero al 31 de diciembre de cada año, y evalúa y dictamina la efectividad del cumplimiento de la Ley, su Reglamento y las RCG (Arts. 42 a 51 RCG); el primer periodo es el año 2028 (Octavo transitorio del Acuerdo 115/2026). Si el Riesgo de la Correduría es bajo o medio, puede realizarla un área de auditoría interna independiente del Corredor Titular (Art. 44) o una persona auditora externa independiente; si es alto, o si así se elige, una persona auditora externa independiente que cumpla el Art. 45 y que no haya prestado servicios a la Correduría que generen conflicto de interés durante el periodo auditado. Si la Correduría no tiene un área independiente, recurre a persona auditora externa. El dictamen se entrega a más tardar el último día hábil de marzo, se presenta directamente al Corredor (Arts. 42 y 50) y califica cada obligación como Cumple, Cumple mayoritariamente, Cumple parcialmente, No cumple o No aplica (Art. 48).</w:t>
      </w:r>
    </w:p>
    <w:p>
      <w:pPr>
        <w:pBdr>
          <w:bottom w:val="single" w:color="B08D57" w:sz="6" w:space="2"/>
        </w:pBdr>
        <w:spacing w:after="120" w:before="240"/>
      </w:pPr>
      <w:r>
        <w:rPr>
          <w:rFonts w:ascii="Calibri" w:cs="Calibri" w:eastAsia="Calibri" w:hAnsi="Calibri"/>
          <w:b/>
          <w:bCs/>
          <w:color w:val="1F3864"/>
          <w:sz w:val="23"/>
          <w:szCs w:val="23"/>
        </w:rPr>
        <w:t xml:space="preserve">II. Metodología de Auditoría</w:t>
      </w:r>
    </w:p>
    <w:p>
      <w:pPr>
        <w:pStyle w:val="ListParagraph"/>
        <w:numPr>
          <w:ilvl w:val="0"/>
          <w:numId w:val="1"/>
        </w:numPr>
        <w:spacing w:after="50"/>
      </w:pPr>
      <w:r>
        <w:rPr>
          <w:rFonts w:ascii="Calibri" w:cs="Calibri" w:eastAsia="Calibri" w:hAnsi="Calibri"/>
          <w:sz w:val="20"/>
          <w:szCs w:val="20"/>
        </w:rPr>
        <w:t xml:space="preserve">Cuestionario inicial de conocimiento de la Correduría y análisis de su Riesgo (Art. 47 RCG)</w:t>
      </w:r>
    </w:p>
    <w:p>
      <w:pPr>
        <w:pStyle w:val="ListParagraph"/>
        <w:numPr>
          <w:ilvl w:val="0"/>
          <w:numId w:val="1"/>
        </w:numPr>
        <w:spacing w:after="50"/>
      </w:pPr>
      <w:r>
        <w:rPr>
          <w:rFonts w:ascii="Calibri" w:cs="Calibri" w:eastAsia="Calibri" w:hAnsi="Calibri"/>
          <w:sz w:val="20"/>
          <w:szCs w:val="20"/>
        </w:rPr>
        <w:t xml:space="preserve">Revisión documental de expedientes KYC del periodo (D7-COR), con criterios de muestreo documentados</w:t>
      </w:r>
    </w:p>
    <w:p>
      <w:pPr>
        <w:pStyle w:val="ListParagraph"/>
        <w:numPr>
          <w:ilvl w:val="0"/>
          <w:numId w:val="1"/>
        </w:numPr>
        <w:spacing w:after="50"/>
      </w:pPr>
      <w:r>
        <w:rPr>
          <w:rFonts w:ascii="Calibri" w:cs="Calibri" w:eastAsia="Calibri" w:hAnsi="Calibri"/>
          <w:sz w:val="20"/>
          <w:szCs w:val="20"/>
        </w:rPr>
        <w:t xml:space="preserve">Cotejo del libro de registro contra los Avisos presentados — todos los actos de los incisos b), c) y d) y los avalúos con fe pública de 8,025 UMA o más</w:t>
      </w:r>
    </w:p>
    <w:p>
      <w:pPr>
        <w:pStyle w:val="ListParagraph"/>
        <w:numPr>
          <w:ilvl w:val="0"/>
          <w:numId w:val="1"/>
        </w:numPr>
        <w:spacing w:after="50"/>
      </w:pPr>
      <w:r>
        <w:rPr>
          <w:rFonts w:ascii="Calibri" w:cs="Calibri" w:eastAsia="Calibri" w:hAnsi="Calibri"/>
          <w:sz w:val="20"/>
          <w:szCs w:val="20"/>
        </w:rPr>
        <w:t xml:space="preserve">Verificación de la identificación de la forma de pago en las pólizas (Art. 33) y de la ausencia de efectivo en actos del Art. 32</w:t>
      </w:r>
    </w:p>
    <w:p>
      <w:pPr>
        <w:pStyle w:val="ListParagraph"/>
        <w:numPr>
          <w:ilvl w:val="0"/>
          <w:numId w:val="1"/>
        </w:numPr>
        <w:spacing w:after="50"/>
      </w:pPr>
      <w:r>
        <w:rPr>
          <w:rFonts w:ascii="Calibri" w:cs="Calibri" w:eastAsia="Calibri" w:hAnsi="Calibri"/>
          <w:sz w:val="20"/>
          <w:szCs w:val="20"/>
        </w:rPr>
        <w:t xml:space="preserve">Revisión de la lista de asistencia, evaluaciones y constancias de capacitación (D11-COR)</w:t>
      </w:r>
    </w:p>
    <w:p>
      <w:pPr>
        <w:pStyle w:val="ListParagraph"/>
        <w:numPr>
          <w:ilvl w:val="0"/>
          <w:numId w:val="1"/>
        </w:numPr>
        <w:spacing w:after="50"/>
      </w:pPr>
      <w:r>
        <w:rPr>
          <w:rFonts w:ascii="Calibri" w:cs="Calibri" w:eastAsia="Calibri" w:hAnsi="Calibri"/>
          <w:sz w:val="20"/>
          <w:szCs w:val="20"/>
        </w:rPr>
        <w:t xml:space="preserve">Verificación del sistema de resguardo documental (D10-COR)</w:t>
      </w:r>
    </w:p>
    <w:p>
      <w:pPr>
        <w:pStyle w:val="ListParagraph"/>
        <w:numPr>
          <w:ilvl w:val="0"/>
          <w:numId w:val="1"/>
        </w:numPr>
        <w:spacing w:after="50"/>
      </w:pPr>
      <w:r>
        <w:rPr>
          <w:rFonts w:ascii="Calibri" w:cs="Calibri" w:eastAsia="Calibri" w:hAnsi="Calibri"/>
          <w:sz w:val="20"/>
          <w:szCs w:val="20"/>
        </w:rPr>
        <w:t xml:space="preserve">Entrevista al Corredor Público Titular y, en su caso, al Encargado Operativo interno (D2-COR)</w:t>
      </w:r>
    </w:p>
    <w:p>
      <w:pPr>
        <w:pStyle w:val="ListParagraph"/>
        <w:numPr>
          <w:ilvl w:val="0"/>
          <w:numId w:val="1"/>
        </w:numPr>
        <w:spacing w:after="50"/>
      </w:pPr>
      <w:r>
        <w:rPr>
          <w:rFonts w:ascii="Calibri" w:cs="Calibri" w:eastAsia="Calibri" w:hAnsi="Calibri"/>
          <w:sz w:val="20"/>
          <w:szCs w:val="20"/>
        </w:rPr>
        <w:t xml:space="preserve">Revisión de reportes de operaciones inusuales y Avisos de 24 horas del periodo (D9-COR)</w:t>
      </w:r>
    </w:p>
    <w:p>
      <w:pPr>
        <w:pBdr>
          <w:bottom w:val="single" w:color="B08D57" w:sz="6" w:space="2"/>
        </w:pBdr>
        <w:spacing w:after="120" w:before="240"/>
      </w:pPr>
      <w:r>
        <w:rPr>
          <w:rFonts w:ascii="Calibri" w:cs="Calibri" w:eastAsia="Calibri" w:hAnsi="Calibri"/>
          <w:b/>
          <w:bCs/>
          <w:color w:val="1F3864"/>
          <w:sz w:val="23"/>
          <w:szCs w:val="23"/>
        </w:rPr>
        <w:t xml:space="preserve">III. Hallazgos por Módulo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
        <w:gridCol w:w="1750"/>
        <w:gridCol w:w="2600"/>
        <w:gridCol w:w="950"/>
        <w:gridCol w:w="1550"/>
        <w:gridCol w:w="2150"/>
      </w:tblGrid>
      <w:tr>
        <w:trPr>
          <w:tblHeader/>
        </w:trPr>
        <w:tc>
          <w:tcPr>
            <w:tcW w:type="dxa" w:w="3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17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Módulo evaluado</w:t>
            </w:r>
          </w:p>
        </w:tc>
        <w:tc>
          <w:tcPr>
            <w:tcW w:type="dxa" w:w="26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 / Observación</w:t>
            </w:r>
          </w:p>
        </w:tc>
        <w:tc>
          <w:tcPr>
            <w:tcW w:type="dxa" w:w="9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Semáforo</w:t>
            </w:r>
          </w:p>
        </w:tc>
        <w:tc>
          <w:tcPr>
            <w:tcW w:type="dxa" w:w="15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Riesgo</w:t>
            </w:r>
          </w:p>
        </w:tc>
        <w:tc>
          <w:tcPr>
            <w:tcW w:type="dxa" w:w="21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Alta y registro SAT (SPPLD) — D3-COR</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Constancia de Asunción Personal — D2-COR</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Expedientes KYC y solicitante material — D7-COR</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4</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Evaluaciones EBR — D6-COR</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5</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Política de PEP's y Beneficiario Controlador — D8-COR</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6</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Avisos sin umbral (incisos b, c, d)</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7</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Avisos de avalúos con fe pública ≥ 8,025 UMA (inciso a)</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8</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Reportes de operaciones inusuales y Avisos de 24 horas — D9-COR</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9</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Resguardo documental — D10-COR</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10</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Capacitación y selección de personal — D11-COR</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11</w:t>
            </w:r>
          </w:p>
        </w:tc>
        <w:tc>
          <w:tcPr>
            <w:tcW w:type="dxa" w:w="17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Efectivo y forma de pago (Arts. 32 fr. VI y 33)</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12</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Manual de Políticas Internas — D5-COR</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r>
        <w:tc>
          <w:tcPr>
            <w:tcW w:type="dxa" w:w="3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13</w:t>
            </w:r>
          </w:p>
        </w:tc>
        <w:tc>
          <w:tcPr>
            <w:tcW w:type="dxa" w:w="17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Mecanismos automatizados (Art. 41 RCG)</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[Describir hallazgo]</w:t>
            </w:r>
          </w:p>
        </w:tc>
        <w:tc>
          <w:tcPr>
            <w:tcW w:type="dxa" w:w="9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]V [ ]A [ ]R</w:t>
            </w:r>
          </w:p>
        </w:tc>
        <w:tc>
          <w:tcPr>
            <w:tcW w:type="dxa" w:w="15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]Alto [ ]Medio [ ]Bajo</w:t>
            </w:r>
          </w:p>
        </w:tc>
        <w:tc>
          <w:tcPr>
            <w:tcW w:type="dxa" w:w="21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r>
    </w:tbl>
    <w:p>
      <w:pPr>
        <w:pBdr>
          <w:bottom w:val="single" w:color="B08D57" w:sz="6" w:space="2"/>
        </w:pBdr>
        <w:spacing w:after="120" w:before="240"/>
      </w:pPr>
      <w:r>
        <w:rPr>
          <w:rFonts w:ascii="Calibri" w:cs="Calibri" w:eastAsia="Calibri" w:hAnsi="Calibri"/>
          <w:b/>
          <w:bCs/>
          <w:color w:val="1F3864"/>
          <w:sz w:val="23"/>
          <w:szCs w:val="23"/>
        </w:rPr>
        <w:t xml:space="preserve">IV. Resumen Ejecutivo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Total de módulos auditados:</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13</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en cumplimiento (VERDE):</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observaciones (AMARILLO):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Módulos con incumplimiento (ROJO):</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w:t>
            </w: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Calificación global del programa: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 ] SATISFACTORIO   [ ] CON OBSERVACIONES   [ ] INSATISFACTORIO</w:t>
            </w:r>
          </w:p>
        </w:tc>
      </w:tr>
    </w:tbl>
    <w:p>
      <w:pPr>
        <w:pBdr>
          <w:bottom w:val="single" w:color="B08D57" w:sz="6" w:space="2"/>
        </w:pBdr>
        <w:spacing w:after="120" w:before="240"/>
      </w:pPr>
      <w:r>
        <w:rPr>
          <w:rFonts w:ascii="Calibri" w:cs="Calibri" w:eastAsia="Calibri" w:hAnsi="Calibri"/>
          <w:b/>
          <w:bCs/>
          <w:color w:val="1F3864"/>
          <w:sz w:val="23"/>
          <w:szCs w:val="23"/>
        </w:rPr>
        <w:t xml:space="preserve">V. Plan de Remediación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2600"/>
        <w:gridCol w:w="1500"/>
        <w:gridCol w:w="1400"/>
        <w:gridCol w:w="1250"/>
      </w:tblGrid>
      <w:tr>
        <w:trPr>
          <w:tblHeader/>
        </w:trPr>
        <w:tc>
          <w:tcPr>
            <w:tcW w:type="dxa" w:w="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No.</w:t>
            </w:r>
          </w:p>
        </w:tc>
        <w:tc>
          <w:tcPr>
            <w:tcW w:type="dxa" w:w="21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Hallazgo</w:t>
            </w:r>
          </w:p>
        </w:tc>
        <w:tc>
          <w:tcPr>
            <w:tcW w:type="dxa" w:w="26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Acción correctiva</w:t>
            </w:r>
          </w:p>
        </w:tc>
        <w:tc>
          <w:tcPr>
            <w:tcW w:type="dxa" w:w="15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Responsable</w:t>
            </w:r>
          </w:p>
        </w:tc>
        <w:tc>
          <w:tcPr>
            <w:tcW w:type="dxa" w:w="140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Fecha compromiso</w:t>
            </w:r>
          </w:p>
        </w:tc>
        <w:tc>
          <w:tcPr>
            <w:tcW w:type="dxa" w:w="1250"/>
            <w:shd w:fill="1F3864" w:val="clear"/>
            <w:tcMar>
              <w:top w:type="dxa" w:w="55"/>
              <w:left w:type="dxa" w:w="80"/>
              <w:bottom w:type="dxa" w:w="55"/>
              <w:right w:type="dxa" w:w="80"/>
            </w:tcMar>
            <w:vAlign w:val="center"/>
          </w:tcPr>
          <w:p>
            <w:r>
              <w:rPr>
                <w:rFonts w:ascii="Calibri" w:cs="Calibri" w:eastAsia="Calibri" w:hAnsi="Calibri"/>
                <w:b/>
                <w:bCs/>
                <w:color w:val="FFFFFF"/>
                <w:sz w:val="16"/>
                <w:szCs w:val="16"/>
              </w:rPr>
              <w:t xml:space="preserve">Estado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1</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1]</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Corredor Público Titular</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2</w:t>
            </w:r>
          </w:p>
        </w:tc>
        <w:tc>
          <w:tcPr>
            <w:tcW w:type="dxa" w:w="21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2]</w:t>
            </w:r>
          </w:p>
        </w:tc>
        <w:tc>
          <w:tcPr>
            <w:tcW w:type="dxa" w:w="26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Corredor Público Titular</w:t>
            </w:r>
          </w:p>
        </w:tc>
        <w:tc>
          <w:tcPr>
            <w:tcW w:type="dxa" w:w="140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4F4F4"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r>
        <w:tc>
          <w:tcPr>
            <w:tcW w:type="dxa" w:w="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3</w:t>
            </w:r>
          </w:p>
        </w:tc>
        <w:tc>
          <w:tcPr>
            <w:tcW w:type="dxa" w:w="21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[Hallazgo 3]</w:t>
            </w:r>
          </w:p>
        </w:tc>
        <w:tc>
          <w:tcPr>
            <w:tcW w:type="dxa" w:w="26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[Acción]</w:t>
            </w:r>
          </w:p>
        </w:tc>
        <w:tc>
          <w:tcPr>
            <w:tcW w:type="dxa" w:w="15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Corredor Público Titular</w:t>
            </w:r>
          </w:p>
        </w:tc>
        <w:tc>
          <w:tcPr>
            <w:tcW w:type="dxa" w:w="140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[Fecha]</w:t>
            </w:r>
          </w:p>
        </w:tc>
        <w:tc>
          <w:tcPr>
            <w:tcW w:type="dxa" w:w="1250"/>
            <w:shd w:fill="FFFFFF" w:val="clear"/>
            <w:tcMar>
              <w:top w:type="dxa" w:w="55"/>
              <w:left w:type="dxa" w:w="80"/>
              <w:bottom w:type="dxa" w:w="55"/>
              <w:right w:type="dxa" w:w="80"/>
            </w:tcMar>
            <w:vAlign w:val="center"/>
          </w:tcPr>
          <w:p>
            <w:r>
              <w:rPr>
                <w:rFonts w:ascii="Calibri" w:cs="Calibri" w:eastAsia="Calibri" w:hAnsi="Calibri"/>
                <w:b w:val="false"/>
                <w:bCs w:val="false"/>
                <w:sz w:val="16"/>
                <w:szCs w:val="16"/>
              </w:rPr>
              <w:t xml:space="preserve">[ ] Pend. [ ] Proc. [ ] Cerrado</w:t>
            </w:r>
          </w:p>
        </w:tc>
      </w:tr>
    </w:tbl>
    <w:p>
      <w:pPr>
        <w:spacing w:after="110"/>
      </w:pPr>
      <w:r>
        <w:rPr>
          <w:rFonts w:ascii="Calibri" w:cs="Calibri" w:eastAsia="Calibri" w:hAnsi="Calibri"/>
          <w:i/>
          <w:iCs/>
          <w:color w:val="595959"/>
          <w:sz w:val="18"/>
          <w:szCs w:val="18"/>
        </w:rPr>
        <w:t xml:space="preserve">El dictamen incluye, para cada hallazgo, la acción correctiva, el plazo, la persona responsable y la proyección económica de las multas en caso de no atenderla, así como el seguimiento de los hallazgos de la auditoría del año anterior (Art. 49 RCG). El dictamen y su soporte se conservan al menos cinco años (Art. 51 RCG).</w:t>
      </w:r>
    </w:p>
    <w:p>
      <w:pPr>
        <w:pBdr>
          <w:bottom w:val="single" w:color="B08D57" w:sz="6" w:space="2"/>
        </w:pBdr>
        <w:spacing w:after="120" w:before="240"/>
      </w:pPr>
      <w:r>
        <w:rPr>
          <w:rFonts w:ascii="Calibri" w:cs="Calibri" w:eastAsia="Calibri" w:hAnsi="Calibri"/>
          <w:b/>
          <w:bCs/>
          <w:color w:val="1F3864"/>
          <w:sz w:val="23"/>
          <w:szCs w:val="23"/>
        </w:rPr>
        <w:t xml:space="preserve">VI. Conclusión</w:t>
      </w:r>
    </w:p>
    <w:p>
      <w:pPr>
        <w:spacing w:after="110"/>
      </w:pPr>
      <w:r>
        <w:rPr>
          <w:rFonts w:ascii="Calibri" w:cs="Calibri" w:eastAsia="Calibri" w:hAnsi="Calibri"/>
          <w:sz w:val="20"/>
          <w:szCs w:val="20"/>
        </w:rPr>
        <w:t xml:space="preserve">[Redactar la conclusión general del estado del Programa Certus PLD al cierre del periodo auditado, incluyendo una opinión sobre la efectividad del programa y las recomendaciones prioritarias para el siguiente ciclo, considerando que la responsabilidad de implementar las recomendaciones recae personalmente en el Corredor Público Titular.]</w:t>
      </w:r>
    </w:p>
    <w:p>
      <w:pPr>
        <w:pBdr>
          <w:bottom w:val="single" w:color="B08D57" w:sz="6" w:space="2"/>
        </w:pBdr>
        <w:spacing w:after="120" w:before="240"/>
      </w:pPr>
      <w:r>
        <w:rPr>
          <w:rFonts w:ascii="Calibri" w:cs="Calibri" w:eastAsia="Calibri" w:hAnsi="Calibri"/>
          <w:b/>
          <w:bCs/>
          <w:color w:val="1F3864"/>
          <w:sz w:val="23"/>
          <w:szCs w:val="23"/>
        </w:rPr>
        <w:t xml:space="preserve">VII. Firmas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o área auditora (elaboró):</w:t>
            </w:r>
          </w:p>
        </w:tc>
        <w:tc>
          <w:tcPr>
            <w:tcW w:type="dxa" w:w="6150"/>
            <w:tcMar>
              <w:top w:type="dxa" w:w="55"/>
              <w:left w:type="dxa" w:w="80"/>
              <w:bottom w:type="dxa" w:w="55"/>
              <w:right w:type="dxa" w:w="80"/>
            </w:tcMar>
            <w:vAlign w:val="center"/>
          </w:tcP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Corredor Público Titular (responsable personal — recibió y tomó nota):</w:t>
            </w:r>
          </w:p>
        </w:tc>
        <w:tc>
          <w:tcPr>
            <w:tcW w:type="dxa" w:w="6150"/>
            <w:tcMar>
              <w:top w:type="dxa" w:w="55"/>
              <w:left w:type="dxa" w:w="80"/>
              <w:bottom w:type="dxa" w:w="55"/>
              <w:right w:type="dxa" w:w="80"/>
            </w:tcMar>
            <w:vAlign w:val="center"/>
          </w:tcPr>
          <w:p/>
        </w:tc>
      </w:tr>
      <w:tr>
        <w:tc>
          <w:tcPr>
            <w:tcW w:type="dxa" w:w="3200"/>
            <w:shd w:fill="EDEDED" w:val="clear"/>
            <w:tcMar>
              <w:top w:type="dxa" w:w="55"/>
              <w:left w:type="dxa" w:w="80"/>
              <w:bottom w:type="dxa" w:w="55"/>
              <w:right w:type="dxa" w:w="80"/>
            </w:tcMar>
            <w:vAlign w:val="center"/>
          </w:tcPr>
          <w:p>
            <w:r>
              <w:rPr>
                <w:rFonts w:ascii="Calibri" w:cs="Calibri" w:eastAsia="Calibri" w:hAnsi="Calibri"/>
                <w:b/>
                <w:bCs/>
                <w:sz w:val="16"/>
                <w:szCs w:val="16"/>
              </w:rPr>
              <w:t xml:space="preserve">Persona auditora externa independiente (si aplica):</w:t>
            </w:r>
          </w:p>
        </w:tc>
        <w:tc>
          <w:tcPr>
            <w:tcW w:type="dxa" w:w="6150"/>
            <w:tcMar>
              <w:top w:type="dxa" w:w="55"/>
              <w:left w:type="dxa" w:w="80"/>
              <w:bottom w:type="dxa" w:w="55"/>
              <w:right w:type="dxa" w:w="80"/>
            </w:tcMar>
            <w:vAlign w:val="center"/>
          </w:tcPr>
          <w:p>
            <w:r>
              <w:rPr>
                <w:rFonts w:ascii="Calibri" w:cs="Calibri" w:eastAsia="Calibri" w:hAnsi="Calibri"/>
                <w:b w:val="false"/>
                <w:bCs w:val="false"/>
                <w:sz w:val="16"/>
                <w:szCs w:val="16"/>
              </w:rPr>
              <w:t xml:space="preserve">[Nombre]</w:t>
            </w:r>
          </w:p>
        </w:tc>
      </w:tr>
    </w:tbl>
    <w:p>
      <w:pPr>
        <w:spacing w:after="110"/>
      </w:pPr>
      <w:r>
        <w:rPr>
          <w:rFonts w:ascii="Calibri" w:cs="Calibri" w:eastAsia="Calibri" w:hAnsi="Calibri"/>
          <w:i/>
          <w:iCs/>
          <w:sz w:val="20"/>
          <w:szCs w:val="20"/>
        </w:rPr>
        <w:t xml:space="preserve">Próxima auditoría programada: [Fecha]</w:t>
      </w:r>
    </w:p>
    <w:p/>
    <w:p>
      <w:pPr>
        <w:pBdr>
          <w:top w:val="single" w:color="B08D57" w:sz="4" w:space="4"/>
        </w:pBdr>
        <w:spacing w:before="200"/>
      </w:pPr>
      <w:r>
        <w:rPr>
          <w:rFonts w:ascii="Calibri" w:cs="Calibri" w:eastAsia="Calibri" w:hAnsi="Calibri"/>
          <w:color w:val="808080"/>
          <w:sz w:val="16"/>
          <w:szCs w:val="16"/>
        </w:rPr>
        <w:t xml:space="preserve">CERTUS CONSULTORES  |  Certus PLD  |  Mérida, Yucatán  |  999 163 1363</w:t>
      </w:r>
    </w:p>
    <w:sectPr>
      <w:pgSz w:w="12240" w:h="15840" w:orient="portrait"/>
      <w:pgMar w:top="900" w:right="700" w:bottom="9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2026-09-09T14:48:47.374Z</dcterms:created>
  <dcterms:modified xsi:type="dcterms:W3CDTF">2026-09-09T14:48:47.375Z</dcterms:modified>
</cp:coreProperties>
</file>

<file path=docProps/custom.xml><?xml version="1.0" encoding="utf-8"?>
<Properties xmlns="http://schemas.openxmlformats.org/officeDocument/2006/custom-properties" xmlns:vt="http://schemas.openxmlformats.org/officeDocument/2006/docPropsVTypes"/>
</file>