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D5-COR </w:t>
            </w:r>
            <w:r>
              <w:rPr>
                <w:rFonts w:ascii="Calibri" w:cs="Calibri" w:eastAsia="Calibri" w:hAnsi="Calibri"/>
                <w:b/>
                <w:bCs/>
                <w:color w:val="FFFFFF"/>
                <w:sz w:val="22"/>
                <w:szCs w:val="22"/>
              </w:rPr>
              <w:t xml:space="preserve">Manual de Cumplimiento PLD/FT — Corredurías Públicas</w:t>
            </w:r>
          </w:p>
          <w:p>
            <w:pPr>
              <w:spacing w:before="40"/>
            </w:pPr>
            <w:r>
              <w:rPr>
                <w:rFonts w:ascii="Calibri" w:cs="Calibri" w:eastAsia="Calibri" w:hAnsi="Calibri"/>
                <w:color w:val="D9D9D9"/>
                <w:sz w:val="18"/>
                <w:szCs w:val="18"/>
              </w:rPr>
              <w:t xml:space="preserve">Correduría: [Denominación de la Correduría]   │   Variante: Correduría Pública — Fracción XII, Apartado B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Correduría:</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[Denominación de la Correduría]</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Corredor Público Titular:</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[Nombre del Corredor Público Titular]</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Versión:</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1.0 — [Fecha de adopción]</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Aprobó:</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[Corredor Público Titular]</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Elaboró:</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Certus Consultores │ Certus PLD</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Vigencia:</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Un año a partir de la fecha de adopción — revisión anual obligatoria</w:t>
            </w:r>
          </w:p>
        </w:tc>
      </w:tr>
    </w:tbl>
    <w:p/>
    <w:p>
      <w:pPr>
        <w:spacing w:after="110"/>
      </w:pPr>
      <w:r>
        <w:rPr>
          <w:rFonts w:ascii="Calibri" w:cs="Calibri" w:eastAsia="Calibri" w:hAnsi="Calibri"/>
          <w:i/>
          <w:iCs/>
          <w:sz w:val="18"/>
          <w:szCs w:val="18"/>
        </w:rPr>
        <w:t xml:space="preserve">Índice de capítulos: 1. Introducción y marco normativo │ 2. Objeto y alcance │ 3. Organización y responsabilidades │ 4. Identificación y conocimiento del cliente (KYC) │ 5. Enfoque Basado en Riesgo (EBR) │ 6. Personas Expuestas Políticamente (PEP's) y Beneficiario Controlador │ 7. Operaciones inusuales │ 8. Restricción de pagos en efectivo y forma de pago │ 9. Presentación de avisos ante el SAT │ 10. Resguardo documental │ 11. Capacitación │ 12. Auditoría │ 13. Perfil transaccional y alertas │ 14. Seguimiento de actos (sin acumulación) │ 15. Listas de autoridades │ 16. Confidencialidad │ 17. Solicitante material de la formalización │ 18. Fe pública al Poder Judicial (Art. 13 Bis) │ 19. Apertura, limitación y terminación de relaciones │ 20. Mecanismos automatizados │ 21. Selección y capacitación del personal │ 22. Sanciones aplicables │ 23. Actualización del Manual │ 24. Glosario</w:t>
      </w:r>
    </w:p>
    <w:p>
      <w:pPr>
        <w:shd w:fill="1F3864" w:val="clear"/>
        <w:spacing w:after="100" w:before="220"/>
      </w:pPr>
      <w:r>
        <w:rPr>
          <w:rFonts w:ascii="Calibri" w:cs="Calibri" w:eastAsia="Calibri" w:hAnsi="Calibri"/>
          <w:b/>
          <w:bCs/>
          <w:color w:val="FFFFFF"/>
          <w:sz w:val="22"/>
          <w:szCs w:val="22"/>
        </w:rPr>
        <w:t xml:space="preserve">Capítulo 1: Introducción y Marco Normativo</w:t>
      </w:r>
    </w:p>
    <w:p>
      <w:pPr>
        <w:spacing w:after="110"/>
      </w:pPr>
      <w:r>
        <w:rPr>
          <w:rFonts w:ascii="Calibri" w:cs="Calibri" w:eastAsia="Calibri" w:hAnsi="Calibri"/>
          <w:sz w:val="20"/>
          <w:szCs w:val="20"/>
        </w:rPr>
        <w:t xml:space="preserve">El presente Manual de Políticas Internas en materia PLD/FT es adoptado por el Corredor Público Titular en cumplimiento de las obligaciones establecidas en la LFPIORPI, su Reglamento y las Reglas de Carácter General. Ha sido desarrollado por Certus Consultores a través del Programa Certus PLD, diseñado específicamente para corredores públicos sujetos a la Fracción XII, Apartado B, del artículo 17 de la LFPIORPI.</w:t>
      </w:r>
    </w:p>
    <w:p>
      <w:pPr>
        <w:spacing w:after="60" w:before="120"/>
      </w:pPr>
      <w:r>
        <w:rPr>
          <w:rFonts w:ascii="Calibri" w:cs="Calibri" w:eastAsia="Calibri" w:hAnsi="Calibri"/>
          <w:b/>
          <w:bCs/>
          <w:color w:val="0A1628"/>
          <w:sz w:val="19"/>
          <w:szCs w:val="19"/>
        </w:rPr>
        <w:t xml:space="preserve">1.1 Base legal</w:t>
      </w:r>
    </w:p>
    <w:p>
      <w:pPr>
        <w:pStyle w:val="ListParagraph"/>
        <w:numPr>
          <w:ilvl w:val="0"/>
          <w:numId w:val="1"/>
        </w:numPr>
        <w:spacing w:after="40"/>
      </w:pPr>
      <w:r>
        <w:rPr>
          <w:rFonts w:ascii="Calibri" w:cs="Calibri" w:eastAsia="Calibri" w:hAnsi="Calibri"/>
          <w:sz w:val="20"/>
          <w:szCs w:val="20"/>
        </w:rPr>
        <w:t xml:space="preserve">LFPIORPI — reforma DOF 16 de julio de 2025 (vigente desde el 17 de julio de 2025)</w:t>
      </w:r>
    </w:p>
    <w:p>
      <w:pPr>
        <w:pStyle w:val="ListParagraph"/>
        <w:numPr>
          <w:ilvl w:val="0"/>
          <w:numId w:val="1"/>
        </w:numPr>
        <w:spacing w:after="40"/>
      </w:pPr>
      <w:r>
        <w:rPr>
          <w:rFonts w:ascii="Calibri" w:cs="Calibri" w:eastAsia="Calibri" w:hAnsi="Calibri"/>
          <w:sz w:val="20"/>
          <w:szCs w:val="20"/>
        </w:rPr>
        <w:t xml:space="preserve">Reglamento de la LFPIORPI — reforma DOF 27 de marzo de 2026 (art. 29: avalúos realizados con fe pública)</w:t>
      </w:r>
    </w:p>
    <w:p>
      <w:pPr>
        <w:pStyle w:val="ListParagraph"/>
        <w:numPr>
          <w:ilvl w:val="0"/>
          <w:numId w:val="1"/>
        </w:numPr>
        <w:spacing w:after="40"/>
      </w:pPr>
      <w:r>
        <w:rPr>
          <w:rFonts w:ascii="Calibri" w:cs="Calibri" w:eastAsia="Calibri" w:hAnsi="Calibri"/>
          <w:sz w:val="20"/>
          <w:szCs w:val="20"/>
        </w:rPr>
        <w:t xml:space="preserve">Reglas de Carácter General emitidas por la SHCP (Art. 6, fr. VII, de la Ley) en materia PLD/FT — Acuerdo 115/2026 (DOF 07/08/2026)</w:t>
      </w:r>
    </w:p>
    <w:p>
      <w:pPr>
        <w:pStyle w:val="ListParagraph"/>
        <w:numPr>
          <w:ilvl w:val="0"/>
          <w:numId w:val="1"/>
        </w:numPr>
        <w:spacing w:after="40"/>
      </w:pPr>
      <w:r>
        <w:rPr>
          <w:rFonts w:ascii="Calibri" w:cs="Calibri" w:eastAsia="Calibri" w:hAnsi="Calibri"/>
          <w:sz w:val="20"/>
          <w:szCs w:val="20"/>
        </w:rPr>
        <w:t xml:space="preserve">Ley Federal de Correduría Pública y su Reglamento — alcance de la fe pública del corredor y autoridad supervisora para efectos del artículo 58 de la LFPIORPI</w:t>
      </w:r>
    </w:p>
    <w:p>
      <w:pPr>
        <w:pStyle w:val="ListParagraph"/>
        <w:numPr>
          <w:ilvl w:val="0"/>
          <w:numId w:val="1"/>
        </w:numPr>
        <w:spacing w:after="40"/>
      </w:pPr>
      <w:r>
        <w:rPr>
          <w:rFonts w:ascii="Calibri" w:cs="Calibri" w:eastAsia="Calibri" w:hAnsi="Calibri"/>
          <w:sz w:val="20"/>
          <w:szCs w:val="20"/>
        </w:rPr>
        <w:t xml:space="preserve">Fracción aplicable: XII, Apartado B — servicios de fe pública de corredores públicos, incisos a) a d)</w:t>
      </w:r>
    </w:p>
    <w:p>
      <w:pPr>
        <w:spacing w:after="60" w:before="120"/>
      </w:pPr>
      <w:r>
        <w:rPr>
          <w:rFonts w:ascii="Calibri" w:cs="Calibri" w:eastAsia="Calibri" w:hAnsi="Calibri"/>
          <w:b/>
          <w:bCs/>
          <w:color w:val="0A1628"/>
          <w:sz w:val="19"/>
          <w:szCs w:val="19"/>
        </w:rPr>
        <w:t xml:space="preserve">1.2 Calendario de exigibilidad del Acuerdo 115/2026</w:t>
      </w:r>
    </w:p>
    <w:p>
      <w:pPr>
        <w:pStyle w:val="ListParagraph"/>
        <w:numPr>
          <w:ilvl w:val="0"/>
          <w:numId w:val="1"/>
        </w:numPr>
        <w:spacing w:after="40"/>
      </w:pPr>
      <w:r>
        <w:rPr>
          <w:rFonts w:ascii="Calibri" w:cs="Calibri" w:eastAsia="Calibri" w:hAnsi="Calibri"/>
          <w:sz w:val="20"/>
          <w:szCs w:val="20"/>
        </w:rPr>
        <w:t xml:space="preserve">Entrada en vigor general: 30 de noviembre de 2026.</w:t>
      </w:r>
    </w:p>
    <w:p>
      <w:pPr>
        <w:pStyle w:val="ListParagraph"/>
        <w:numPr>
          <w:ilvl w:val="0"/>
          <w:numId w:val="1"/>
        </w:numPr>
        <w:spacing w:after="40"/>
      </w:pPr>
      <w:r>
        <w:rPr>
          <w:rFonts w:ascii="Calibri" w:cs="Calibri" w:eastAsia="Calibri" w:hAnsi="Calibri"/>
          <w:sz w:val="20"/>
          <w:szCs w:val="20"/>
        </w:rPr>
        <w:t xml:space="preserve">Evaluación con enfoque basado en riesgo y Manual con su metodología, a disposición de la autoridad: 1 de marzo de 2027.</w:t>
      </w:r>
    </w:p>
    <w:p>
      <w:pPr>
        <w:pStyle w:val="ListParagraph"/>
        <w:numPr>
          <w:ilvl w:val="0"/>
          <w:numId w:val="1"/>
        </w:numPr>
        <w:spacing w:after="40"/>
      </w:pPr>
      <w:r>
        <w:rPr>
          <w:rFonts w:ascii="Calibri" w:cs="Calibri" w:eastAsia="Calibri" w:hAnsi="Calibri"/>
          <w:sz w:val="20"/>
          <w:szCs w:val="20"/>
        </w:rPr>
        <w:t xml:space="preserve">Clasificación del Grado de Riesgo, conocimiento del cliente (perfil transaccional) y Beneficiario Controlador conforme a los Capítulos III Bis, III Ter y III Quinquies de las RCG: actos realizados a partir del 1 de marzo de 2027.</w:t>
      </w:r>
    </w:p>
    <w:p>
      <w:pPr>
        <w:pStyle w:val="ListParagraph"/>
        <w:numPr>
          <w:ilvl w:val="0"/>
          <w:numId w:val="1"/>
        </w:numPr>
        <w:spacing w:after="40"/>
      </w:pPr>
      <w:r>
        <w:rPr>
          <w:rFonts w:ascii="Calibri" w:cs="Calibri" w:eastAsia="Calibri" w:hAnsi="Calibri"/>
          <w:sz w:val="20"/>
          <w:szCs w:val="20"/>
        </w:rPr>
        <w:t xml:space="preserve">Mecanismos automatizados: a más tardar el 1 de junio de 2027. Primer periodo anual de capacitación: año 2027. Primer periodo de auditoría: año 2028.</w:t>
      </w:r>
    </w:p>
    <w:p>
      <w:pPr>
        <w:shd w:fill="1F3864" w:val="clear"/>
        <w:spacing w:after="100" w:before="220"/>
      </w:pPr>
      <w:r>
        <w:rPr>
          <w:rFonts w:ascii="Calibri" w:cs="Calibri" w:eastAsia="Calibri" w:hAnsi="Calibri"/>
          <w:b/>
          <w:bCs/>
          <w:color w:val="FFFFFF"/>
          <w:sz w:val="22"/>
          <w:szCs w:val="22"/>
        </w:rPr>
        <w:t xml:space="preserve">Capítulo 2: Objeto y Alcance</w:t>
      </w:r>
    </w:p>
    <w:p>
      <w:pPr>
        <w:spacing w:after="110"/>
      </w:pPr>
      <w:r>
        <w:rPr>
          <w:rFonts w:ascii="Calibri" w:cs="Calibri" w:eastAsia="Calibri" w:hAnsi="Calibri"/>
          <w:sz w:val="20"/>
          <w:szCs w:val="20"/>
        </w:rPr>
        <w:t xml:space="preserve">Este Manual establece los procedimientos, políticas y controles internos que la Correduría implementa para prevenir, detectar y reportar actos que pudieran estar vinculados con el lavado de dinero o el financiamiento al terrorismo, en los actos que el Corredor formalice conforme a los incisos a) a d) de la Fracción XII, Apartado B.</w:t>
      </w:r>
    </w:p>
    <w:p>
      <w:pPr>
        <w:spacing w:after="110"/>
      </w:pPr>
      <w:r>
        <w:rPr>
          <w:rFonts w:ascii="Calibri" w:cs="Calibri" w:eastAsia="Calibri" w:hAnsi="Calibri"/>
          <w:b/>
          <w:sz w:val="20"/>
          <w:szCs w:val="20"/>
        </w:rPr>
        <w:t xml:space="preserve">Supuestos que la Correduría no realiza (Art. 37 Bis 2 RCG).</w:t>
      </w:r>
      <w:r>
        <w:rPr>
          <w:rFonts w:ascii="Calibri" w:cs="Calibri" w:eastAsia="Calibri" w:hAnsi="Calibri"/>
          <w:b w:val="0"/>
          <w:sz w:val="20"/>
          <w:szCs w:val="20"/>
        </w:rPr>
        <w:t xml:space="preserve"> La Correduría hace constar que no formaliza actos de los siguientes incisos de la Fracción XII, Apartado B: [INCISOS QUE LA CORREDURÍA NO FORMALIZA, O “NINGUNO”]. Para esos supuestos no se establecen políticas, criterios, medidas o procedimientos en este Manual. Si la Correduría decide formalizarlos, deberá establecer previamente las políticas respectivas en este Manual.</w:t>
      </w:r>
    </w:p>
    <w:p>
      <w:pPr>
        <w:spacing w:after="110"/>
      </w:pPr>
      <w:r>
        <w:rPr>
          <w:rFonts w:ascii="Calibri" w:cs="Calibri" w:eastAsia="Calibri" w:hAnsi="Calibri"/>
          <w:b/>
          <w:sz w:val="20"/>
          <w:szCs w:val="20"/>
        </w:rPr>
        <w:t xml:space="preserve">Actos fuera de la fe pública del Corredor.</w:t>
      </w:r>
      <w:r>
        <w:rPr>
          <w:rFonts w:ascii="Calibri" w:cs="Calibri" w:eastAsia="Calibri" w:hAnsi="Calibri"/>
          <w:b w:val="0"/>
          <w:sz w:val="20"/>
          <w:szCs w:val="20"/>
        </w:rPr>
        <w:t xml:space="preserve"> La Correduría no formaliza actos sobre inmuebles ni hace constar poderes distintos de la representación orgánica de las sociedades (art. 6, frs. V y VI, de la Ley Federal de Correduría Pública); las solicitudes de esa naturaleza se declinan. Los avalúos que el Corredor emita sin utilizar la fe pública no se ubican en el inciso a) (art. 29 del Reglamento), circunstancia que se documenta en el expediente.</w:t>
      </w:r>
    </w:p>
    <w:p>
      <w:pPr>
        <w:shd w:fill="1F3864" w:val="clear"/>
        <w:spacing w:after="100" w:before="220"/>
      </w:pPr>
      <w:r>
        <w:rPr>
          <w:rFonts w:ascii="Calibri" w:cs="Calibri" w:eastAsia="Calibri" w:hAnsi="Calibri"/>
          <w:b/>
          <w:bCs/>
          <w:color w:val="FFFFFF"/>
          <w:sz w:val="22"/>
          <w:szCs w:val="22"/>
        </w:rPr>
        <w:t xml:space="preserve">Capítulo 3: Organización y Responsabilidades</w:t>
      </w:r>
    </w:p>
    <w:p>
      <w:pPr>
        <w:spacing w:after="110"/>
      </w:pPr>
      <w:r>
        <w:rPr>
          <w:rFonts w:ascii="Calibri" w:cs="Calibri" w:eastAsia="Calibri" w:hAnsi="Calibri"/>
          <w:sz w:val="20"/>
          <w:szCs w:val="20"/>
        </w:rPr>
        <w:t xml:space="preserve">A diferencia del régimen aplicable a personas morales, no existe un órgano de administración ni un Representante de Cumplimiento registrable ante la Secretaría. Conforme al artículo 20, último párrafo, LFPIORPI, el Corredor Público Titular cumple personal y directamente con las obligaciones de este Manual (ver Constancia de Asunción Personal, D2-COR).</w:t>
      </w:r>
    </w:p>
    <w:p>
      <w:pPr>
        <w:spacing w:after="60" w:before="120"/>
      </w:pPr>
      <w:r>
        <w:rPr>
          <w:rFonts w:ascii="Calibri" w:cs="Calibri" w:eastAsia="Calibri" w:hAnsi="Calibri"/>
          <w:b/>
          <w:bCs/>
          <w:color w:val="0A1628"/>
          <w:sz w:val="19"/>
          <w:szCs w:val="19"/>
        </w:rPr>
        <w:t xml:space="preserve">3.1 Corredor Público Titular</w:t>
      </w:r>
    </w:p>
    <w:p>
      <w:pPr>
        <w:pStyle w:val="ListParagraph"/>
        <w:numPr>
          <w:ilvl w:val="0"/>
          <w:numId w:val="1"/>
        </w:numPr>
        <w:spacing w:after="40"/>
      </w:pPr>
      <w:r>
        <w:rPr>
          <w:rFonts w:ascii="Calibri" w:cs="Calibri" w:eastAsia="Calibri" w:hAnsi="Calibri"/>
          <w:sz w:val="20"/>
          <w:szCs w:val="20"/>
        </w:rPr>
        <w:t xml:space="preserve">Responsable personal y directo del cumplimiento de este Manual ante la Secretaría de Hacienda (SAT/UIF) y ante la Secretaría de Economía como autoridad supervisora de la correduría.</w:t>
      </w:r>
    </w:p>
    <w:p>
      <w:pPr>
        <w:pStyle w:val="ListParagraph"/>
        <w:numPr>
          <w:ilvl w:val="0"/>
          <w:numId w:val="1"/>
        </w:numPr>
        <w:spacing w:after="40"/>
      </w:pPr>
      <w:r>
        <w:rPr>
          <w:rFonts w:ascii="Calibri" w:cs="Calibri" w:eastAsia="Calibri" w:hAnsi="Calibri"/>
          <w:sz w:val="20"/>
          <w:szCs w:val="20"/>
        </w:rPr>
        <w:t xml:space="preserve">Mantiene vigente y actualizada su alta y registro en el portal SPPLD y consulta sus medios electrónicos cada día hábil.</w:t>
      </w:r>
    </w:p>
    <w:p>
      <w:pPr>
        <w:pStyle w:val="ListParagraph"/>
        <w:numPr>
          <w:ilvl w:val="0"/>
          <w:numId w:val="1"/>
        </w:numPr>
        <w:spacing w:after="40"/>
      </w:pPr>
      <w:r>
        <w:rPr>
          <w:rFonts w:ascii="Calibri" w:cs="Calibri" w:eastAsia="Calibri" w:hAnsi="Calibri"/>
          <w:sz w:val="20"/>
          <w:szCs w:val="20"/>
        </w:rPr>
        <w:t xml:space="preserve">Presenta los Avisos e informes correspondientes dentro de los plazos legales.</w:t>
      </w:r>
    </w:p>
    <w:p>
      <w:pPr>
        <w:spacing w:after="60" w:before="120"/>
      </w:pPr>
      <w:r>
        <w:rPr>
          <w:rFonts w:ascii="Calibri" w:cs="Calibri" w:eastAsia="Calibri" w:hAnsi="Calibri"/>
          <w:b/>
          <w:bCs/>
          <w:color w:val="0A1628"/>
          <w:sz w:val="19"/>
          <w:szCs w:val="19"/>
        </w:rPr>
        <w:t xml:space="preserve">3.2 Encargado Operativo interno (opcional — D2-COR)</w:t>
      </w:r>
    </w:p>
    <w:p>
      <w:pPr>
        <w:pStyle w:val="ListParagraph"/>
        <w:numPr>
          <w:ilvl w:val="0"/>
          <w:numId w:val="1"/>
        </w:numPr>
        <w:spacing w:after="40"/>
      </w:pPr>
      <w:r>
        <w:rPr>
          <w:rFonts w:ascii="Calibri" w:cs="Calibri" w:eastAsia="Calibri" w:hAnsi="Calibri"/>
          <w:sz w:val="20"/>
          <w:szCs w:val="20"/>
        </w:rPr>
        <w:t xml:space="preserve">Auxilia en la integración de expedientes KYC, la aplicación de la Metodología EBR y el seguimiento de plazos de Avisos, bajo la supervisión y responsabilidad personal del Corredor Público Titular.</w:t>
      </w:r>
    </w:p>
    <w:p>
      <w:pPr>
        <w:shd w:fill="1F3864" w:val="clear"/>
        <w:spacing w:after="100" w:before="220"/>
      </w:pPr>
      <w:r>
        <w:rPr>
          <w:rFonts w:ascii="Calibri" w:cs="Calibri" w:eastAsia="Calibri" w:hAnsi="Calibri"/>
          <w:b/>
          <w:bCs/>
          <w:color w:val="FFFFFF"/>
          <w:sz w:val="22"/>
          <w:szCs w:val="22"/>
        </w:rPr>
        <w:t xml:space="preserve">Capítulo 4: Identificación y Conocimiento del Cliente (KYC)</w:t>
      </w:r>
    </w:p>
    <w:p>
      <w:pPr>
        <w:spacing w:after="110"/>
      </w:pPr>
      <w:r>
        <w:rPr>
          <w:rFonts w:ascii="Calibri" w:cs="Calibri" w:eastAsia="Calibri" w:hAnsi="Calibri"/>
          <w:sz w:val="20"/>
          <w:szCs w:val="20"/>
        </w:rPr>
        <w:t xml:space="preserve">Toda persona que comparezca a formalizar ante el Corredor un acto de los incisos b), c) o d), o que solicite un avalúo con fe pública sobre bienes de 8,025 UMA o más, debe ser identificada ANTES de la formalización. Se integra un expediente único de identificación conforme al Documento D7-COR (art. 12 RCG).</w:t>
      </w:r>
    </w:p>
    <w:p>
      <w:pPr>
        <w:spacing w:after="60" w:before="120"/>
      </w:pPr>
      <w:r>
        <w:rPr>
          <w:rFonts w:ascii="Calibri" w:cs="Calibri" w:eastAsia="Calibri" w:hAnsi="Calibri"/>
          <w:b/>
          <w:bCs/>
          <w:color w:val="0A1628"/>
          <w:sz w:val="19"/>
          <w:szCs w:val="19"/>
        </w:rPr>
        <w:t xml:space="preserve">4.1 Umbrales de identificación y aviso (Fracción XII, Apartado B — UMA 2026: $117.31 MXN)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500"/>
        <w:gridCol w:w="2550"/>
      </w:tblGrid>
      <w:tr>
        <w:trPr>
          <w:tblHeader/>
        </w:trPr>
        <w:tc>
          <w:tcPr>
            <w:tcW w:type="dxa" w:w="9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Inciso</w:t>
            </w:r>
          </w:p>
        </w:tc>
        <w:tc>
          <w:tcPr>
            <w:tcW w:type="dxa" w:w="34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Acto</w:t>
            </w:r>
          </w:p>
        </w:tc>
        <w:tc>
          <w:tcPr>
            <w:tcW w:type="dxa" w:w="25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Umbral de identificación</w:t>
            </w:r>
          </w:p>
        </w:tc>
        <w:tc>
          <w:tcPr>
            <w:tcW w:type="dxa" w:w="255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Umbral de aviso</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a)</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Avalúo realizado con fe pública</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8,025 UMA (~$941,413 MXN)</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8,025 UMA (~$941,413 MXN), avalúo por avalúo</w:t>
            </w:r>
          </w:p>
        </w:tc>
      </w:tr>
      <w:tr>
        <w:tc>
          <w:tcPr>
            <w:tcW w:type="dxa" w:w="9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b)</w:t>
            </w:r>
          </w:p>
        </w:tc>
        <w:tc>
          <w:tcPr>
            <w:tcW w:type="dxa" w:w="34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Sociedades mercantiles / capital / fusión / escisión / acciones y partes sociales</w:t>
            </w:r>
          </w:p>
        </w:tc>
        <w:tc>
          <w:tcPr>
            <w:tcW w:type="dxa" w:w="25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c)</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Fideicomisos: constitución, modificación o cesión de derechos</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r>
        <w:tc>
          <w:tcPr>
            <w:tcW w:type="dxa" w:w="9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d)</w:t>
            </w:r>
          </w:p>
        </w:tc>
        <w:tc>
          <w:tcPr>
            <w:tcW w:type="dxa" w:w="34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Mutuo o crédito mercantil (acreedor fuera del sistema financiero)</w:t>
            </w:r>
          </w:p>
        </w:tc>
        <w:tc>
          <w:tcPr>
            <w:tcW w:type="dxa" w:w="25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bl>
    <w:p>
      <w:pPr>
        <w:spacing w:after="110"/>
      </w:pPr>
      <w:r>
        <w:rPr>
          <w:rFonts w:ascii="Calibri" w:cs="Calibri" w:eastAsia="Calibri" w:hAnsi="Calibri"/>
          <w:sz w:val="20"/>
          <w:szCs w:val="20"/>
        </w:rPr>
        <w:t xml:space="preserve">El fundamento del criterio "sin umbral" de los incisos b), c) y d) y de la no acumulación se desarrolla en el Dictamen de Sujeción Normativa (D1-COR, sección 2.3).</w:t>
      </w:r>
    </w:p>
    <w:p>
      <w:pPr>
        <w:shd w:fill="1F3864" w:val="clear"/>
        <w:spacing w:after="100" w:before="220"/>
      </w:pPr>
      <w:r>
        <w:rPr>
          <w:rFonts w:ascii="Calibri" w:cs="Calibri" w:eastAsia="Calibri" w:hAnsi="Calibri"/>
          <w:b/>
          <w:bCs/>
          <w:color w:val="FFFFFF"/>
          <w:sz w:val="22"/>
          <w:szCs w:val="22"/>
        </w:rPr>
        <w:t xml:space="preserve">Capítulo 5: Enfoque Basado en Riesgo (EBR)</w:t>
      </w:r>
    </w:p>
    <w:p>
      <w:pPr>
        <w:spacing w:after="110"/>
      </w:pPr>
      <w:r>
        <w:rPr>
          <w:rFonts w:ascii="Calibri" w:cs="Calibri" w:eastAsia="Calibri" w:hAnsi="Calibri"/>
          <w:sz w:val="20"/>
          <w:szCs w:val="20"/>
        </w:rPr>
        <w:t xml:space="preserve">La Correduría clasifica a sus clientes en tres niveles de riesgo (BAJO, MEDIO, ALTO) utilizando la Metodología EBR del Documento D6-COR. Factores evaluados: perfil del cliente, origen de los recursos o de los bienes aportados, tipo de acto ante el Corredor, monto, zona geográfica y vínculo con PEP's.</w:t>
      </w:r>
    </w:p>
    <w:p>
      <w:pPr>
        <w:spacing w:after="110"/>
      </w:pPr>
      <w:r>
        <w:rPr>
          <w:rFonts w:ascii="Calibri" w:cs="Calibri" w:eastAsia="Calibri" w:hAnsi="Calibri"/>
          <w:b/>
          <w:sz w:val="20"/>
          <w:szCs w:val="20"/>
        </w:rPr>
        <w:t xml:space="preserve">Medidas de debida diligencia por Grado de Riesgo.</w:t>
      </w:r>
      <w:r>
        <w:rPr>
          <w:rFonts w:ascii="Calibri" w:cs="Calibri" w:eastAsia="Calibri" w:hAnsi="Calibri"/>
          <w:b w:val="0"/>
          <w:sz w:val="20"/>
          <w:szCs w:val="20"/>
        </w:rPr>
        <w:t xml:space="preserve"> Riesgo bajo: medidas simplificadas (Art. 17 RCG), con los datos mínimos de los Anexos, siempre que este Manual documente los criterios que justifican la clasificación. Riesgo medio: expediente de identificación completo conforme al Art. 12 RCG (Art. 17 Bis RCG). Riesgo alto: debida diligencia reforzada (Arts. 23 Ter 3 y 23 Ter 4 RCG): mayor información sobre el origen y destino de los recursos, cuestionario de identificación reforzada, consulta de los registros electrónicos de la Secretaría de Economía sobre los accionistas o socios de personas morales y monitoreo más estricto; si el cliente es además PEP, el Corredor Público Titular deja constancia firmada de los motivos considerados (Art. 23 Ter 5 RCG). El Grado de Riesgo se reevalúa cuando menos cada seis meses (Art. 23 Bis 1 RCG).</w:t>
      </w:r>
    </w:p>
    <w:p>
      <w:pPr>
        <w:shd w:fill="1F3864" w:val="clear"/>
        <w:spacing w:after="100" w:before="220"/>
      </w:pPr>
      <w:r>
        <w:rPr>
          <w:rFonts w:ascii="Calibri" w:cs="Calibri" w:eastAsia="Calibri" w:hAnsi="Calibri"/>
          <w:b/>
          <w:bCs/>
          <w:color w:val="FFFFFF"/>
          <w:sz w:val="22"/>
          <w:szCs w:val="22"/>
        </w:rPr>
        <w:t xml:space="preserve">Capítulo 6: Personas Expuestas Políticamente (PEP's) y Beneficiario Controlador</w:t>
      </w:r>
    </w:p>
    <w:p>
      <w:pPr>
        <w:spacing w:after="110"/>
      </w:pPr>
      <w:r>
        <w:rPr>
          <w:rFonts w:ascii="Calibri" w:cs="Calibri" w:eastAsia="Calibri" w:hAnsi="Calibri"/>
          <w:sz w:val="20"/>
          <w:szCs w:val="20"/>
        </w:rPr>
        <w:t xml:space="preserve">Se considera PEP a la persona física que desempeña o ha desempeñado funciones públicas prominentes en territorio nacional o en el extranjero, así como a su cónyuge, concubina o concubinario, parientes por consanguinidad o afinidad hasta el segundo grado, y a los socios o asociados con quienes mantenga vínculos patrimoniales (Art. 23 Quáter RCG). La calidad de PEP nacional se conserva durante el año siguiente a aquel en que la persona dejó el cargo. Ver Política de PEP's, Documento D8-COR.</w:t>
      </w:r>
    </w:p>
    <w:p>
      <w:pPr>
        <w:spacing w:after="110"/>
      </w:pPr>
      <w:r>
        <w:rPr>
          <w:rFonts w:ascii="Calibri" w:cs="Calibri" w:eastAsia="Calibri" w:hAnsi="Calibri"/>
          <w:b/>
          <w:sz w:val="20"/>
          <w:szCs w:val="20"/>
        </w:rPr>
        <w:t xml:space="preserve">Beneficiario Controlador (Art. 18, fr. III, de la Ley).</w:t>
      </w:r>
      <w:r>
        <w:rPr>
          <w:rFonts w:ascii="Calibri" w:cs="Calibri" w:eastAsia="Calibri" w:hAnsi="Calibri"/>
          <w:b w:val="0"/>
          <w:sz w:val="20"/>
          <w:szCs w:val="20"/>
        </w:rPr>
        <w:t xml:space="preserve"> Cuando el cliente sea persona moral, fideicomiso u otra figura jurídica, el Corredor recaba los documentos que permitan identificar a su Beneficiario Controlador; cuando sea persona física, recaba la declaración acerca de si tiene o no conocimiento de la existencia de un Beneficiario Controlador y, en su caso, la documentación que permita identificarlo — ver Sección E del Documento D7-COR.</w:t>
      </w:r>
    </w:p>
    <w:p>
      <w:pPr>
        <w:spacing w:after="110"/>
      </w:pPr>
      <w:r>
        <w:rPr>
          <w:rFonts w:ascii="Calibri" w:cs="Calibri" w:eastAsia="Calibri" w:hAnsi="Calibri"/>
          <w:b/>
          <w:sz w:val="20"/>
          <w:szCs w:val="20"/>
        </w:rPr>
        <w:t xml:space="preserve">Orden de prelación (Art. 23 Quinquies RCG):</w:t>
      </w:r>
      <w:r>
        <w:rPr>
          <w:rFonts w:ascii="Calibri" w:cs="Calibri" w:eastAsia="Calibri" w:hAnsi="Calibri"/>
          <w:b w:val="0"/>
          <w:sz w:val="20"/>
          <w:szCs w:val="20"/>
        </w:rPr>
        <w:t xml:space="preserve"> (i) la persona o personas físicas que tengan el 25% o más del capital social; (ii) si no existe, quien controle a la persona moral por otros medios; (iii) en último término, el funcionario administrativo de mayor grado. En fideicomisos se aplica el Art. 23 Quinquies 1, ascendiendo en la cadena de titularidad hasta la persona física que ejerza el control efectivo. No se exige la identificación del Beneficiario Controlador en los supuestos de exención del Art. 23 Quinquies 2 RCG (entre otros, quienes cotizan en bolsa y las personas morales de los Anexos 4 Bis, 6 Bis, 7-A y 7 Bis-A).</w:t>
      </w:r>
    </w:p>
    <w:p>
      <w:pPr>
        <w:shd w:fill="1F3864" w:val="clear"/>
        <w:spacing w:after="100" w:before="220"/>
      </w:pPr>
      <w:r>
        <w:rPr>
          <w:rFonts w:ascii="Calibri" w:cs="Calibri" w:eastAsia="Calibri" w:hAnsi="Calibri"/>
          <w:b/>
          <w:bCs/>
          <w:color w:val="FFFFFF"/>
          <w:sz w:val="22"/>
          <w:szCs w:val="22"/>
        </w:rPr>
        <w:t xml:space="preserve">Capítulo 7: Operaciones Inusuales</w:t>
      </w:r>
    </w:p>
    <w:p>
      <w:pPr>
        <w:spacing w:after="110"/>
      </w:pPr>
      <w:r>
        <w:rPr>
          <w:rFonts w:ascii="Calibri" w:cs="Calibri" w:eastAsia="Calibri" w:hAnsi="Calibri"/>
          <w:sz w:val="20"/>
          <w:szCs w:val="20"/>
        </w:rPr>
        <w:t xml:space="preserve">El catálogo de señales de alerta específicas por inciso, así como el procedimiento de reporte interno y presentación del Aviso dentro de las 24 horas siguientes a la detección (Art. 18, fr. VI, de la Ley; Arts. 26 Bis y 26 Bis 1 RCG), se encuentra en el Documento D9-COR.</w:t>
      </w:r>
    </w:p>
    <w:p>
      <w:pPr>
        <w:shd w:fill="1F3864" w:val="clear"/>
        <w:spacing w:after="100" w:before="220"/>
      </w:pPr>
      <w:r>
        <w:rPr>
          <w:rFonts w:ascii="Calibri" w:cs="Calibri" w:eastAsia="Calibri" w:hAnsi="Calibri"/>
          <w:b/>
          <w:bCs/>
          <w:color w:val="FFFFFF"/>
          <w:sz w:val="22"/>
          <w:szCs w:val="22"/>
        </w:rPr>
        <w:t xml:space="preserve">Capítulo 8: Restricción de Pagos en Efectivo y Forma de Pago</w:t>
      </w:r>
    </w:p>
    <w:p>
      <w:pPr>
        <w:spacing w:after="110"/>
      </w:pPr>
      <w:r>
        <w:rPr>
          <w:rFonts w:ascii="Calibri" w:cs="Calibri" w:eastAsia="Calibri" w:hAnsi="Calibri"/>
          <w:sz w:val="20"/>
          <w:szCs w:val="20"/>
        </w:rPr>
        <w:t xml:space="preserve">Conforme al artículo 32 LFPIORPI, está PROHIBIDO liquidar o pagar, o aceptar la liquidación o el pago, con monedas y billetes, nacionales o extranjeros, o con metales preciosos — aun cuando el pago se realice en efectivo por conducto de una Entidad Financiera — los actos de sus fracciones. Para la Correduría son relevantes: la fracción VI — transmisión de dominio o constitución de derechos de cualquier naturaleza sobre los títulos representativos de partes sociales o acciones, por un valor igual o superior a 3,210 UMA (~$376,565 MXN 2026); la fracción II — transmisión de propiedad o constitución de derechos reales sobre vehículos aéreos, marítimos o terrestres (por ejemplo, hipotecas sobre buques o aeronaves), por igual umbral; y la fracción VIII — consignación de pago relacionada con esos actos. La fracción I (inmuebles) no es aplicable porque el Corredor no actúa como fedatario en actos sobre inmuebles.</w:t>
      </w:r>
    </w:p>
    <w:p>
      <w:pPr>
        <w:spacing w:after="110"/>
      </w:pPr>
      <w:r>
        <w:rPr>
          <w:rFonts w:ascii="Calibri" w:cs="Calibri" w:eastAsia="Calibri" w:hAnsi="Calibri"/>
          <w:b w:val="0"/>
          <w:sz w:val="20"/>
          <w:szCs w:val="20"/>
        </w:rPr>
        <w:t xml:space="preserve">Conforme al artículo 33, en los instrumentos en que haga constar actos del artículo 32, el Corredor identifica la forma en que se pagan las obligaciones cuando la operación tenga un valor igual o superior a 8,025 UMA (~$941,413 MXN); si el valor es inferior y el acto fue pagado total o parcialmente antes de la firma, basta la declaración que bajo protesta de decir verdad hagan las personas Clientes o Usuarias. </w:t>
      </w:r>
      <w:r>
        <w:rPr>
          <w:rFonts w:ascii="Calibri" w:cs="Calibri" w:eastAsia="Calibri" w:hAnsi="Calibri"/>
          <w:b/>
          <w:sz w:val="20"/>
          <w:szCs w:val="20"/>
        </w:rPr>
        <w:t xml:space="preserve">Criterio del Programa:</w:t>
      </w:r>
      <w:r>
        <w:rPr>
          <w:rFonts w:ascii="Calibri" w:cs="Calibri" w:eastAsia="Calibri" w:hAnsi="Calibri"/>
          <w:b w:val="0"/>
          <w:sz w:val="20"/>
          <w:szCs w:val="20"/>
        </w:rPr>
        <w:t xml:space="preserve"> en toda compraventa de acciones o partes sociales de 3,210 UMA o más, la póliza asienta la forma de pago y la manifestación de que no se utilizó efectivo. El incumplimiento del artículo 33 se sanciona con 2,000 a 10,000 UMA (Arts. 53, fr. V, y 54, fr. II).</w:t>
      </w:r>
    </w:p>
    <w:p>
      <w:pPr>
        <w:shd w:fill="1F3864" w:val="clear"/>
        <w:spacing w:after="100" w:before="220"/>
      </w:pPr>
      <w:r>
        <w:rPr>
          <w:rFonts w:ascii="Calibri" w:cs="Calibri" w:eastAsia="Calibri" w:hAnsi="Calibri"/>
          <w:b/>
          <w:bCs/>
          <w:color w:val="FFFFFF"/>
          <w:sz w:val="22"/>
          <w:szCs w:val="22"/>
        </w:rPr>
        <w:t xml:space="preserve">Capítulo 9: Presentación de Avisos ante el SAT</w:t>
      </w:r>
    </w:p>
    <w:p>
      <w:pPr>
        <w:spacing w:after="110"/>
      </w:pPr>
      <w:r>
        <w:rPr>
          <w:rFonts w:ascii="Calibri" w:cs="Calibri" w:eastAsia="Calibri" w:hAnsi="Calibri"/>
          <w:sz w:val="20"/>
          <w:szCs w:val="20"/>
        </w:rPr>
        <w:t xml:space="preserve">Los Avisos se presentan a través del Portal en Internet, con la e.firma del Corredor, a más tardar el día 17 del mes inmediato siguiente a aquel en que se realizó el acto (Art. 23 de la Ley; Art. 24 RCG), uno por cada acto que cumpla la condición de Aviso (Art. 24 Bis 1 RCG). La fecha del acto se determina conforme a los artículos 5 y 24 del Reglamento. El canal fiscal alterno del Art. 24, último párrafo, de la Ley es exclusivo de los notarios y no aplica a la Correduría. Si en el mes no hubo actos objeto de Aviso, se presenta el informe del Art. 25 RCG. El control mensual de actos y Avisos se documenta en el Documento D12-COR; el alta y registro, en el Documento D3-COR.</w:t>
      </w:r>
    </w:p>
    <w:p>
      <w:pPr>
        <w:shd w:fill="1F3864" w:val="clear"/>
        <w:spacing w:after="100" w:before="220"/>
      </w:pPr>
      <w:r>
        <w:rPr>
          <w:rFonts w:ascii="Calibri" w:cs="Calibri" w:eastAsia="Calibri" w:hAnsi="Calibri"/>
          <w:b/>
          <w:bCs/>
          <w:color w:val="FFFFFF"/>
          <w:sz w:val="22"/>
          <w:szCs w:val="22"/>
        </w:rPr>
        <w:t xml:space="preserve">Capítulo 10: Resguardo Documental</w:t>
      </w:r>
    </w:p>
    <w:p>
      <w:pPr>
        <w:spacing w:after="110"/>
      </w:pPr>
      <w:r>
        <w:rPr>
          <w:rFonts w:ascii="Calibri" w:cs="Calibri" w:eastAsia="Calibri" w:hAnsi="Calibri"/>
          <w:sz w:val="20"/>
          <w:szCs w:val="20"/>
        </w:rPr>
        <w:t xml:space="preserve">Aplica la Política de Resguardo Documental, Documento D10-COR — plazo de conservación de al menos 10 años conforme al artículo 18, fracción IV, sin perjuicio de las obligaciones de conservación del archivo y del libro de registro que impone la Ley Federal de Correduría Pública.</w:t>
      </w:r>
    </w:p>
    <w:p>
      <w:pPr>
        <w:shd w:fill="1F3864" w:val="clear"/>
        <w:spacing w:after="100" w:before="220"/>
      </w:pPr>
      <w:r>
        <w:rPr>
          <w:rFonts w:ascii="Calibri" w:cs="Calibri" w:eastAsia="Calibri" w:hAnsi="Calibri"/>
          <w:b/>
          <w:bCs/>
          <w:color w:val="FFFFFF"/>
          <w:sz w:val="22"/>
          <w:szCs w:val="22"/>
        </w:rPr>
        <w:t xml:space="preserve">Capítulo 11: Capacitación</w:t>
      </w:r>
    </w:p>
    <w:p>
      <w:pPr>
        <w:spacing w:after="110"/>
      </w:pPr>
      <w:r>
        <w:rPr>
          <w:rFonts w:ascii="Calibri" w:cs="Calibri" w:eastAsia="Calibri" w:hAnsi="Calibri"/>
          <w:sz w:val="20"/>
          <w:szCs w:val="20"/>
        </w:rPr>
        <w:t xml:space="preserve">Aplica el Programa Anual de Capacitación, Documento D11-COR, con los casos prácticos (D11B-COR) y la evaluación de comprensión (D11C-COR) adaptados a la correduría pública. Los cursos se imparten al menos una vez al año, por instructores con experiencia acreditable de al menos cinco años en la materia (Art. 39 Bis RCG), y su evidencia se conserva por diez años (Art. 39 Bis 1 RCG).</w:t>
      </w:r>
    </w:p>
    <w:p>
      <w:pPr>
        <w:shd w:fill="1F3864" w:val="clear"/>
        <w:spacing w:after="100" w:before="220"/>
      </w:pPr>
      <w:r>
        <w:rPr>
          <w:rFonts w:ascii="Calibri" w:cs="Calibri" w:eastAsia="Calibri" w:hAnsi="Calibri"/>
          <w:b/>
          <w:bCs/>
          <w:color w:val="FFFFFF"/>
          <w:sz w:val="22"/>
          <w:szCs w:val="22"/>
        </w:rPr>
        <w:t xml:space="preserve">Capítulo 12: Auditoría</w:t>
      </w:r>
    </w:p>
    <w:p>
      <w:pPr>
        <w:spacing w:after="110"/>
      </w:pPr>
      <w:r>
        <w:rPr>
          <w:rFonts w:ascii="Calibri" w:cs="Calibri" w:eastAsia="Calibri" w:hAnsi="Calibri"/>
          <w:sz w:val="20"/>
          <w:szCs w:val="20"/>
        </w:rPr>
        <w:t xml:space="preserve">La auditoría es anual, por año calendario (Art. 18, fr. XI, de la Ley; Arts. 42 a 51 RCG), y evalúa y dictamina la efectividad del cumplimiento de la Ley, su Reglamento y las RCG; el primer periodo es el año 2028. Cuando el Riesgo de la Correduría sea bajo o medio, puede realizarla un área de auditoría interna independiente o una persona auditora externa independiente; cuando sea alto, una persona auditora externa independiente con título y cédula en derecho, contaduría, finanzas, administración o informática, al menos tres años de experiencia en la materia y certificación vigente de la UIF. Si la Correduría no cuenta con un área de auditoría interna independiente del Corredor Público Titular, la revisión se encomienda a una persona auditora externa. El dictamen se presenta directamente al Corredor (Art. 42 RCG), se estructura en siete secciones y califica cada obligación como Cumple, Cumple mayoritariamente, Cumple parcialmente, No cumple o No aplica (Arts. 47 y 48 RCG). Formato: Documento D13-COR.</w:t>
      </w:r>
    </w:p>
    <w:p>
      <w:pPr>
        <w:shd w:fill="1F3864" w:val="clear"/>
        <w:spacing w:after="100" w:before="220"/>
      </w:pPr>
      <w:r>
        <w:rPr>
          <w:rFonts w:ascii="Calibri" w:cs="Calibri" w:eastAsia="Calibri" w:hAnsi="Calibri"/>
          <w:b/>
          <w:bCs/>
          <w:color w:val="FFFFFF"/>
          <w:sz w:val="22"/>
          <w:szCs w:val="22"/>
        </w:rPr>
        <w:t xml:space="preserve">Capítulo 13: Perfil Transaccional y Sistema de Alertas</w:t>
      </w:r>
    </w:p>
    <w:p>
      <w:pPr>
        <w:spacing w:after="110"/>
      </w:pPr>
      <w:r>
        <w:rPr>
          <w:rFonts w:ascii="Calibri" w:cs="Calibri" w:eastAsia="Calibri" w:hAnsi="Calibri"/>
          <w:sz w:val="20"/>
          <w:szCs w:val="20"/>
        </w:rPr>
        <w:t xml:space="preserve">La Correduría determina el Perfil Transaccional inicial de cada Cliente o Usuaria con base en la información que proporcione sobre los montos, frecuencia y tipo de actos que estima realizar (Art. 23 Ter 1 RCG), y lo incorpora a un sistema de alertas que permite detectar comportamientos que se aparten de lo esperado y que pudieran vincularse con los delitos de los artículos 139 Quáter o 400 Bis del Código Penal Federal (Art. 23 Ter 2 RCG). El Perfil Transaccional se reevalúa cuando menos cada seis meses. Toda alerta se documenta conforme al Documento D9-COR.</w:t>
      </w:r>
    </w:p>
    <w:p>
      <w:pPr>
        <w:shd w:fill="1F3864" w:val="clear"/>
        <w:spacing w:after="100" w:before="220"/>
      </w:pPr>
      <w:r>
        <w:rPr>
          <w:rFonts w:ascii="Calibri" w:cs="Calibri" w:eastAsia="Calibri" w:hAnsi="Calibri"/>
          <w:b/>
          <w:bCs/>
          <w:color w:val="FFFFFF"/>
          <w:sz w:val="22"/>
          <w:szCs w:val="22"/>
        </w:rPr>
        <w:t xml:space="preserve">Capítulo 14: Seguimiento de Actos — Sin Acumulación en el Apartado B</w:t>
      </w:r>
    </w:p>
    <w:p>
      <w:pPr>
        <w:spacing w:after="110"/>
      </w:pPr>
      <w:r>
        <w:rPr>
          <w:rFonts w:ascii="Calibri" w:cs="Calibri" w:eastAsia="Calibri" w:hAnsi="Calibri"/>
          <w:sz w:val="20"/>
          <w:szCs w:val="20"/>
        </w:rPr>
        <w:t xml:space="preserve">Conforme al artículo 19 de las RCG, el seguimiento y acumulación de actos en periodos de hasta seis meses NO aplica a ninguno de los incisos del Apartado B. En consecuencia: (i) en los incisos b), c) y d) cada acto se avisa por sí mismo; y (ii) en el inciso a), cada avalúo con fe pública se compara individualmente con el umbral de 8,025 UMA, sin sumar avalúos previos del mismo cliente.</w:t>
      </w:r>
    </w:p>
    <w:p>
      <w:pPr>
        <w:spacing w:after="110"/>
      </w:pPr>
      <w:r>
        <w:rPr>
          <w:rFonts w:ascii="Calibri" w:cs="Calibri" w:eastAsia="Calibri" w:hAnsi="Calibri"/>
          <w:sz w:val="20"/>
          <w:szCs w:val="20"/>
        </w:rPr>
        <w:t xml:space="preserve">Lo anterior no exime del monitoreo del Perfil Transaccional (Capítulo 13), de la reevaluación semestral del Grado de Riesgo ni de la verificación anual de los expedientes de clientes con Relación de negocios (Art. 21 RCG). El fraccionamiento artificial de un avalúo para quedar por debajo del umbral es una señal de alerta que se documenta y, en su caso, motiva el Aviso por sospecha (D9-COR).</w:t>
      </w:r>
    </w:p>
    <w:p>
      <w:pPr>
        <w:shd w:fill="1F3864" w:val="clear"/>
        <w:spacing w:after="100" w:before="220"/>
      </w:pPr>
      <w:r>
        <w:rPr>
          <w:rFonts w:ascii="Calibri" w:cs="Calibri" w:eastAsia="Calibri" w:hAnsi="Calibri"/>
          <w:b/>
          <w:bCs/>
          <w:color w:val="FFFFFF"/>
          <w:sz w:val="22"/>
          <w:szCs w:val="22"/>
        </w:rPr>
        <w:t xml:space="preserve">Capítulo 15: Identificación de Personas en Listas de Autoridades</w:t>
      </w:r>
    </w:p>
    <w:p>
      <w:pPr>
        <w:spacing w:after="110"/>
      </w:pPr>
      <w:r>
        <w:rPr>
          <w:rFonts w:ascii="Calibri" w:cs="Calibri" w:eastAsia="Calibri" w:hAnsi="Calibri"/>
          <w:sz w:val="20"/>
          <w:szCs w:val="20"/>
        </w:rPr>
        <w:t xml:space="preserve">La Correduría incorpora procedimientos para identificar a las personas incluidas en las listas que emitan autoridades nacionales u organismos internacionales y que dé a conocer la UIF (Art. 38 RCG), a fin de evitar el uso de recursos para el financiamiento de organizaciones delictivas u otras actividades ilícitas. Cuando la persona con quien se realice o intente realizar un acto esté en esas listas, se presenta Aviso dentro del plazo de 24 horas de los Arts. 26 Bis y 26 Bis 1 RCG (Art. 27 RCG).</w:t>
      </w:r>
    </w:p>
    <w:p>
      <w:pPr>
        <w:shd w:fill="1F3864" w:val="clear"/>
        <w:spacing w:after="100" w:before="220"/>
      </w:pPr>
      <w:r>
        <w:rPr>
          <w:rFonts w:ascii="Calibri" w:cs="Calibri" w:eastAsia="Calibri" w:hAnsi="Calibri"/>
          <w:b/>
          <w:bCs/>
          <w:color w:val="FFFFFF"/>
          <w:sz w:val="22"/>
          <w:szCs w:val="22"/>
        </w:rPr>
        <w:t xml:space="preserve">Capítulo 16: Confidencialidad</w:t>
      </w:r>
    </w:p>
    <w:p>
      <w:pPr>
        <w:spacing w:after="110"/>
      </w:pPr>
      <w:r>
        <w:rPr>
          <w:rFonts w:ascii="Calibri" w:cs="Calibri" w:eastAsia="Calibri" w:hAnsi="Calibri"/>
          <w:sz w:val="20"/>
          <w:szCs w:val="20"/>
        </w:rPr>
        <w:t xml:space="preserve">El Corredor Público Titular y el personal de la Correduría mantienen absoluta confidencialidad sobre la información, documentación y actos u operaciones relacionados con el cumplimiento de la Ley, incluida la relativa al Beneficiario Controlador y a los Avisos presentados (Arts. 31 RCG y 50 de la Ley). Queda prohibido alertar al cliente o a terceros sobre cualquier referencia hecha en un Aviso, sobre requerimientos de información recibidos o sobre órdenes de aseguramiento antes de su ejecución; revelar sin autorización la vinculación de una persona con un Aviso o requerimiento constituye el delito del Art. 63, fr. II, de la Ley. La presentación de Avisos no vulnera el secreto profesional ni la confidencialidad (Art. 22 de la Ley).</w:t>
      </w:r>
    </w:p>
    <w:p>
      <w:pPr>
        <w:shd w:fill="1F3864" w:val="clear"/>
        <w:spacing w:after="100" w:before="220"/>
      </w:pPr>
      <w:r>
        <w:rPr>
          <w:rFonts w:ascii="Calibri" w:cs="Calibri" w:eastAsia="Calibri" w:hAnsi="Calibri"/>
          <w:b/>
          <w:bCs/>
          <w:color w:val="FFFFFF"/>
          <w:sz w:val="22"/>
          <w:szCs w:val="22"/>
        </w:rPr>
        <w:t xml:space="preserve">Capítulo 17: Identificación de Quien Solicita Materialmente la Formalización</w:t>
      </w:r>
    </w:p>
    <w:p>
      <w:pPr>
        <w:spacing w:after="110"/>
      </w:pPr>
      <w:r>
        <w:rPr>
          <w:rFonts w:ascii="Calibri" w:cs="Calibri" w:eastAsia="Calibri" w:hAnsi="Calibri"/>
          <w:sz w:val="20"/>
          <w:szCs w:val="20"/>
        </w:rPr>
        <w:t xml:space="preserve">Con independencia de la identificación de las partes, el Corredor identifica, al momento de realizar el acto, a la persona que solicite materialmente la protocolización o formalización del instrumento — póliza o acta —, recabando la información del Anexo 3, inciso a), numerales i), ii), ix) y x), de las RCG (Art. 13 RCG, aplicable a los Apartados A y B). Este dato se registra en la Sección A.3 del expediente KYC (D7-COR).</w:t>
      </w:r>
    </w:p>
    <w:p>
      <w:pPr>
        <w:shd w:fill="1F3864" w:val="clear"/>
        <w:spacing w:after="100" w:before="220"/>
      </w:pPr>
      <w:r>
        <w:rPr>
          <w:rFonts w:ascii="Calibri" w:cs="Calibri" w:eastAsia="Calibri" w:hAnsi="Calibri"/>
          <w:b/>
          <w:bCs/>
          <w:color w:val="FFFFFF"/>
          <w:sz w:val="22"/>
          <w:szCs w:val="22"/>
        </w:rPr>
        <w:t xml:space="preserve">Capítulo 18: Fe Pública Prestada al Poder Judicial o a Autoridades Administrativas</w:t>
      </w:r>
    </w:p>
    <w:p>
      <w:pPr>
        <w:spacing w:after="110"/>
      </w:pPr>
      <w:r>
        <w:rPr>
          <w:rFonts w:ascii="Calibri" w:cs="Calibri" w:eastAsia="Calibri" w:hAnsi="Calibri"/>
          <w:sz w:val="20"/>
          <w:szCs w:val="20"/>
        </w:rPr>
        <w:t xml:space="preserve">Cuando el Corredor preste servicios de fe pública al Poder Judicial de la Federación, de los Estados o de la Ciudad de México, o a autoridades administrativas en ejercicio de sus funciones de administración e impartición de justicia, integra el expediente único de identificación únicamente con los datos del Anexo 7 Bis de las RCG (Art. 13 Bis RCG).</w:t>
      </w:r>
    </w:p>
    <w:p>
      <w:pPr>
        <w:shd w:fill="1F3864" w:val="clear"/>
        <w:spacing w:after="100" w:before="220"/>
      </w:pPr>
      <w:r>
        <w:rPr>
          <w:rFonts w:ascii="Calibri" w:cs="Calibri" w:eastAsia="Calibri" w:hAnsi="Calibri"/>
          <w:b/>
          <w:bCs/>
          <w:color w:val="FFFFFF"/>
          <w:sz w:val="22"/>
          <w:szCs w:val="22"/>
        </w:rPr>
        <w:t xml:space="preserve">Capítulo 19: Criterios para Apertura, Limitación y Terminación de Relaciones Comerciales</w:t>
      </w:r>
    </w:p>
    <w:p>
      <w:pPr>
        <w:spacing w:after="110"/>
      </w:pPr>
      <w:r>
        <w:rPr>
          <w:rFonts w:ascii="Calibri" w:cs="Calibri" w:eastAsia="Calibri" w:hAnsi="Calibri"/>
          <w:sz w:val="20"/>
          <w:szCs w:val="20"/>
        </w:rPr>
        <w:t xml:space="preserve">En congruencia con la Metodología EBR (Art. 37, tercer párrafo, RCG), la Correduría se abstiene de formalizar el acto o de continuar la relación cuando: (i) el cliente no proporcione la información o documentación necesaria para su identificación (Art. 21 de la Ley); (ii) el Grado de Riesgo resultante sea inaceptable conforme a los criterios del Documento D6-COR; o (iii) se detecten señales de alerta que el cliente no pueda aclarar razonablemente. Toda abstención, limitación o terminación se documenta y conserva en el expediente.</w:t>
      </w:r>
    </w:p>
    <w:p>
      <w:pPr>
        <w:shd w:fill="1F3864" w:val="clear"/>
        <w:spacing w:after="100" w:before="220"/>
      </w:pPr>
      <w:r>
        <w:rPr>
          <w:rFonts w:ascii="Calibri" w:cs="Calibri" w:eastAsia="Calibri" w:hAnsi="Calibri"/>
          <w:b/>
          <w:bCs/>
          <w:color w:val="FFFFFF"/>
          <w:sz w:val="22"/>
          <w:szCs w:val="22"/>
        </w:rPr>
        <w:t xml:space="preserve">Capítulo 20: Mecanismos Automatizados</w:t>
      </w:r>
    </w:p>
    <w:p>
      <w:pPr>
        <w:spacing w:after="110"/>
      </w:pPr>
      <w:r>
        <w:rPr>
          <w:rFonts w:ascii="Calibri" w:cs="Calibri" w:eastAsia="Calibri" w:hAnsi="Calibri"/>
          <w:sz w:val="20"/>
          <w:szCs w:val="20"/>
        </w:rPr>
        <w:t xml:space="preserve">Conforme al Art. 41 RCG, la Correduría cuenta, a más tardar el 1 de junio de 2027, con mecanismos automatizados — adecuados a su volumen, naturaleza y Riesgo — que permiten: conservar y consultar los expedientes de identificación; agrupar y monitorear los actos de cada cliente; alimentar la Metodología EBR; ejecutar el modelo de clasificación de Grado de Riesgo conservando su historial por al menos diez años; operar el sistema de alertas; y dar seguimiento al uso de efectivo y metales preciosos. Pueden ser hojas de cálculo o bases de datos siempre que cumplan esas funciones y sean verificables (Art. 3, fr. XI Ter, RCG).</w:t>
      </w:r>
    </w:p>
    <w:p>
      <w:pPr>
        <w:shd w:fill="1F3864" w:val="clear"/>
        <w:spacing w:after="100" w:before="220"/>
      </w:pPr>
      <w:r>
        <w:rPr>
          <w:rFonts w:ascii="Calibri" w:cs="Calibri" w:eastAsia="Calibri" w:hAnsi="Calibri"/>
          <w:b/>
          <w:bCs/>
          <w:color w:val="FFFFFF"/>
          <w:sz w:val="22"/>
          <w:szCs w:val="22"/>
        </w:rPr>
        <w:t xml:space="preserve">Capítulo 21: Selección y Capacitación del Personal</w:t>
      </w:r>
    </w:p>
    <w:p>
      <w:pPr>
        <w:spacing w:after="110"/>
      </w:pPr>
      <w:r>
        <w:rPr>
          <w:rFonts w:ascii="Calibri" w:cs="Calibri" w:eastAsia="Calibri" w:hAnsi="Calibri"/>
          <w:sz w:val="20"/>
          <w:szCs w:val="20"/>
        </w:rPr>
        <w:t xml:space="preserve">La Correduría aplica procedimientos de selección del personal que tenga relación directa con las partes, con declaración firmada conforme al Art. 39 Bis 2 RCG (exigible para contrataciones a partir del 1 de marzo de 2027), y lo capacita conforme al Programa Anual del Documento D11-COR (Art. 39 Bis RCG); el personal de atención al público recibe capacitación previa o simultánea a su ingreso. La evidencia se conserva por 10 años.</w:t>
      </w:r>
    </w:p>
    <w:p>
      <w:pPr>
        <w:shd w:fill="1F3864" w:val="clear"/>
        <w:spacing w:after="100" w:before="220"/>
      </w:pPr>
      <w:r>
        <w:rPr>
          <w:rFonts w:ascii="Calibri" w:cs="Calibri" w:eastAsia="Calibri" w:hAnsi="Calibri"/>
          <w:b/>
          <w:bCs/>
          <w:color w:val="FFFFFF"/>
          <w:sz w:val="22"/>
          <w:szCs w:val="22"/>
        </w:rPr>
        <w:t xml:space="preserve">Capítulo 22: Sanciones Aplicables</w:t>
      </w:r>
    </w:p>
    <w:p>
      <w:pPr>
        <w:spacing w:after="110"/>
      </w:pPr>
      <w:r>
        <w:rPr>
          <w:rFonts w:ascii="Calibri" w:cs="Calibri" w:eastAsia="Calibri" w:hAnsi="Calibri"/>
          <w:sz w:val="20"/>
          <w:szCs w:val="20"/>
        </w:rPr>
        <w:t xml:space="preserve">Incumplir las obligaciones del artículo 18, desatender requerimientos o presentar el Aviso extemporáneamente dentro de los 30 días siguientes al plazo (Art. 53, fraccs. I a IV) se sanciona con 200 a 2,000 UMA (Art. 54, fr. I); el Aviso presentado después de ese plazo se sanciona como omisión. Incumplir el artículo 33 (forma de pago en los instrumentos) se sanciona con 2,000 a 10,000 UMA (Art. 54, fr. II). La omisión de Avisos o la participación en operaciones con efectivo prohibidas (Art. 53, fraccs. VI y VII) se sanciona con 10,000 a 65,000 UMA, o del 10% al 100% del valor del acto — lo que resulte mayor (Art. 54, fr. III). Art. 55: el beneficio de actuación espontánea permite que la Secretaría se abstenga de sancionar por única ocasión o, si ya se ejerció, reduzca hasta 50% las multas.</w:t>
      </w:r>
    </w:p>
    <w:p>
      <w:pPr>
        <w:spacing w:after="110"/>
      </w:pPr>
      <w:r>
        <w:rPr>
          <w:rFonts w:ascii="Calibri" w:cs="Calibri" w:eastAsia="Calibri" w:hAnsi="Calibri"/>
          <w:sz w:val="20"/>
          <w:szCs w:val="20"/>
        </w:rPr>
        <w:t xml:space="preserve">Además, conforme al artículo 58, cuando la Secretaría determina la existencia de "notorias deficiencias" informa a la Secretaría de Economía, autoridad competente para supervisar la fe pública del corredor, para que instaure el procedimiento sancionador que corresponda conforme a la Ley Federal de Correduría Pública. Ver Documentos D0-COR y D1-COR.</w:t>
      </w:r>
    </w:p>
    <w:p>
      <w:pPr>
        <w:shd w:fill="1F3864" w:val="clear"/>
        <w:spacing w:after="100" w:before="220"/>
      </w:pPr>
      <w:r>
        <w:rPr>
          <w:rFonts w:ascii="Calibri" w:cs="Calibri" w:eastAsia="Calibri" w:hAnsi="Calibri"/>
          <w:b/>
          <w:bCs/>
          <w:color w:val="FFFFFF"/>
          <w:sz w:val="22"/>
          <w:szCs w:val="22"/>
        </w:rPr>
        <w:t xml:space="preserve">Capítulo 23: Actualización del Manual</w:t>
      </w:r>
    </w:p>
    <w:p>
      <w:pPr>
        <w:spacing w:after="110"/>
      </w:pPr>
      <w:r>
        <w:rPr>
          <w:rFonts w:ascii="Calibri" w:cs="Calibri" w:eastAsia="Calibri" w:hAnsi="Calibri"/>
          <w:sz w:val="20"/>
          <w:szCs w:val="20"/>
        </w:rPr>
        <w:t xml:space="preserve">Este Manual se revisa con periodicidad anual, cuando los resultados de la Metodología EBR identifiquen Riesgos nuevos o mayores (Art. 10 Septies 2 RCG), y cada vez que se publique una reforma a la LFPIORPI, su Reglamento, las Reglas de Carácter General o a la Ley Federal de Correduría Pública en lo relativo al alcance de la fe pública del Corredor. El SAT puede ordenar modificaciones (Art. 37 Bis 3 RCG).</w:t>
      </w:r>
    </w:p>
    <w:p>
      <w:pPr>
        <w:shd w:fill="1F3864" w:val="clear"/>
        <w:spacing w:after="100" w:before="220"/>
      </w:pPr>
      <w:r>
        <w:rPr>
          <w:rFonts w:ascii="Calibri" w:cs="Calibri" w:eastAsia="Calibri" w:hAnsi="Calibri"/>
          <w:b/>
          <w:bCs/>
          <w:color w:val="FFFFFF"/>
          <w:sz w:val="22"/>
          <w:szCs w:val="22"/>
        </w:rPr>
        <w:t xml:space="preserve">Capítulo 24: Glosario</w:t>
      </w:r>
    </w:p>
    <w:p>
      <w:pPr>
        <w:pStyle w:val="ListParagraph"/>
        <w:numPr>
          <w:ilvl w:val="0"/>
          <w:numId w:val="1"/>
        </w:numPr>
        <w:spacing w:after="40"/>
      </w:pPr>
      <w:r>
        <w:rPr>
          <w:rFonts w:ascii="Calibri" w:cs="Calibri" w:eastAsia="Calibri" w:hAnsi="Calibri"/>
          <w:sz w:val="20"/>
          <w:szCs w:val="20"/>
        </w:rPr>
        <w:t xml:space="preserve">LFPIORPI: Ley Federal para la Prevención e Identificación de Operaciones con Recursos de Procedencia Ilícita.</w:t>
      </w:r>
    </w:p>
    <w:p>
      <w:pPr>
        <w:pStyle w:val="ListParagraph"/>
        <w:numPr>
          <w:ilvl w:val="0"/>
          <w:numId w:val="1"/>
        </w:numPr>
        <w:spacing w:after="40"/>
      </w:pPr>
      <w:r>
        <w:rPr>
          <w:rFonts w:ascii="Calibri" w:cs="Calibri" w:eastAsia="Calibri" w:hAnsi="Calibri"/>
          <w:sz w:val="20"/>
          <w:szCs w:val="20"/>
        </w:rPr>
        <w:t xml:space="preserve">LFCP: Ley Federal de Correduría Pública.</w:t>
      </w:r>
    </w:p>
    <w:p>
      <w:pPr>
        <w:pStyle w:val="ListParagraph"/>
        <w:numPr>
          <w:ilvl w:val="0"/>
          <w:numId w:val="1"/>
        </w:numPr>
        <w:spacing w:after="40"/>
      </w:pPr>
      <w:r>
        <w:rPr>
          <w:rFonts w:ascii="Calibri" w:cs="Calibri" w:eastAsia="Calibri" w:hAnsi="Calibri"/>
          <w:sz w:val="20"/>
          <w:szCs w:val="20"/>
        </w:rPr>
        <w:t xml:space="preserve">Corredor Público: particular habilitado por la Secretaría de Economía para ejercer, entre otras funciones, la fe pública en materia mercantil.</w:t>
      </w:r>
    </w:p>
    <w:p>
      <w:pPr>
        <w:pStyle w:val="ListParagraph"/>
        <w:numPr>
          <w:ilvl w:val="0"/>
          <w:numId w:val="1"/>
        </w:numPr>
        <w:spacing w:after="40"/>
      </w:pPr>
      <w:r>
        <w:rPr>
          <w:rFonts w:ascii="Calibri" w:cs="Calibri" w:eastAsia="Calibri" w:hAnsi="Calibri"/>
          <w:sz w:val="20"/>
          <w:szCs w:val="20"/>
        </w:rPr>
        <w:t xml:space="preserve">Póliza / Acta: instrumentos en que el Corredor hace constar, respectivamente, actos o contratos y hechos de naturaleza mercantil.</w:t>
      </w:r>
    </w:p>
    <w:p>
      <w:pPr>
        <w:pStyle w:val="ListParagraph"/>
        <w:numPr>
          <w:ilvl w:val="0"/>
          <w:numId w:val="1"/>
        </w:numPr>
        <w:spacing w:after="40"/>
      </w:pPr>
      <w:r>
        <w:rPr>
          <w:rFonts w:ascii="Calibri" w:cs="Calibri" w:eastAsia="Calibri" w:hAnsi="Calibri"/>
          <w:sz w:val="20"/>
          <w:szCs w:val="20"/>
        </w:rPr>
        <w:t xml:space="preserve">UMA: Unidad de Medida y Actualización.</w:t>
      </w:r>
    </w:p>
    <w:p>
      <w:pPr>
        <w:pStyle w:val="ListParagraph"/>
        <w:numPr>
          <w:ilvl w:val="0"/>
          <w:numId w:val="1"/>
        </w:numPr>
        <w:spacing w:after="40"/>
      </w:pPr>
      <w:r>
        <w:rPr>
          <w:rFonts w:ascii="Calibri" w:cs="Calibri" w:eastAsia="Calibri" w:hAnsi="Calibri"/>
          <w:sz w:val="20"/>
          <w:szCs w:val="20"/>
        </w:rPr>
        <w:t xml:space="preserve">PLD/FT: Prevención de Lavado de Dinero y Financiamiento al Terrorismo.</w:t>
      </w:r>
    </w:p>
    <w:p>
      <w:pPr>
        <w:pStyle w:val="ListParagraph"/>
        <w:numPr>
          <w:ilvl w:val="0"/>
          <w:numId w:val="1"/>
        </w:numPr>
        <w:spacing w:after="40"/>
      </w:pPr>
      <w:r>
        <w:rPr>
          <w:rFonts w:ascii="Calibri" w:cs="Calibri" w:eastAsia="Calibri" w:hAnsi="Calibri"/>
          <w:sz w:val="20"/>
          <w:szCs w:val="20"/>
        </w:rPr>
        <w:t xml:space="preserve">Beneficiario Controlador: persona física que en última instancia obtiene el beneficio o ejerce el control efectivo del acto u operación.</w:t>
      </w:r>
    </w:p>
    <w:p>
      <w:pPr>
        <w:pStyle w:val="ListParagraph"/>
        <w:numPr>
          <w:ilvl w:val="0"/>
          <w:numId w:val="1"/>
        </w:numPr>
        <w:spacing w:after="40"/>
      </w:pPr>
      <w:r>
        <w:rPr>
          <w:rFonts w:ascii="Calibri" w:cs="Calibri" w:eastAsia="Calibri" w:hAnsi="Calibri"/>
          <w:sz w:val="20"/>
          <w:szCs w:val="20"/>
        </w:rPr>
        <w:t xml:space="preserve">SPPLD: Sistema/Portal de Prevención de Lavado de Dinero del SAT.</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2026-09-09T01:37:42.627Z</dcterms:created>
  <dcterms:modified xsi:type="dcterms:W3CDTF">2026-09-09T01:37:42.627Z</dcterms:modified>
</cp:coreProperties>
</file>

<file path=docProps/custom.xml><?xml version="1.0" encoding="utf-8"?>
<Properties xmlns="http://schemas.openxmlformats.org/officeDocument/2006/custom-properties" xmlns:vt="http://schemas.openxmlformats.org/officeDocument/2006/docPropsVTypes"/>
</file>