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386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CERTUS PLD</w:t>
            </w:r>
            <w:r>
              <w:rPr>
                <w:rFonts w:ascii="Calibri" w:cs="Calibri" w:eastAsia="Calibri" w:hAnsi="Calibri"/>
                <w:color w:val="B08D57"/>
                <w:sz w:val="22"/>
                <w:szCs w:val="22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B08D57"/>
                <w:sz w:val="22"/>
                <w:szCs w:val="22"/>
              </w:rPr>
              <w:t xml:space="preserve">D8-COR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Política de Personas Expuestas Políticamente (PEP's) — Corredurías Públicas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D9D9D9"/>
                <w:sz w:val="18"/>
                <w:szCs w:val="18"/>
              </w:rPr>
              <w:t xml:space="preserve">Correduría: [Denominación de la Correduría]   │   Variante: Correduría Pública — Fracción XII, Apartado B LFPIORPI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EDEDE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Correduría: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[Denominación de la Correduría]</w:t>
            </w:r>
          </w:p>
        </w:tc>
      </w:tr>
      <w:tr>
        <w:tc>
          <w:tcPr>
            <w:tcW w:type="dxa" w:w="3200"/>
            <w:shd w:fill="EDEDE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Aprobó: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[Nombre del Corredor Público Titular]</w:t>
            </w:r>
          </w:p>
        </w:tc>
      </w:tr>
      <w:tr>
        <w:tc>
          <w:tcPr>
            <w:tcW w:type="dxa" w:w="3200"/>
            <w:shd w:fill="EDEDE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Fecha de adopción: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[Fecha]</w:t>
            </w:r>
          </w:p>
        </w:tc>
      </w:tr>
      <w:tr>
        <w:tc>
          <w:tcPr>
            <w:tcW w:type="dxa" w:w="3200"/>
            <w:shd w:fill="EDEDE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Elaboró: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CERTUS CONSULTORES │ Certus PLD</w:t>
            </w:r>
          </w:p>
        </w:tc>
      </w:tr>
      <w:tr>
        <w:tc>
          <w:tcPr>
            <w:tcW w:type="dxa" w:w="3200"/>
            <w:shd w:fill="EDEDE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Versión: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</w:tbl>
    <w:p/>
    <w:p>
      <w:pPr>
        <w:spacing w:after="11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Nota: la definición de PEP, los cargos que califican y el procedimiento de identificación son sustancialmente idénticos en todos los sectores — el criterio no depende de la fracción del artículo 17 aplicable. Lo que cambia en la correduría pública es (i) la referencia cruzada al expediente KYC (en el D7-COR la Sección de PEP's es la F); (ii) los roles que deben evaluarse en cada acto ante el Corredor, más amplios que "cliente"; y (iii) quién aprueba la debida diligencia reforzada, dado que el Corredor Público Titular responde personalmente (D2-COR), sin órgano de administración.</w:t>
      </w:r>
    </w:p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I. Definición de PEP</w:t>
      </w:r>
    </w:p>
    <w:p>
      <w:pPr>
        <w:spacing w:after="110"/>
      </w:pPr>
      <w:r>
        <w:rPr>
          <w:rFonts w:ascii="Calibri" w:cs="Calibri" w:eastAsia="Calibri" w:hAnsi="Calibri"/>
          <w:sz w:val="20"/>
          <w:szCs w:val="20"/>
        </w:rPr>
        <w:t xml:space="preserve">Para efectos de esta Política y conforme a la LFPIORPI, su Reglamento y las RCG, se considera Persona Políticamente Expuesta (PEP) a toda persona física que desempeñe o haya desempeñado funciones públicas destacadas en México o en el extranjero (Art. 23 Quáter RCG). La persona que dejó el cargo conserva la calidad de PEP nacional durante el año siguiente a aquel en que lo dejó.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0A1628"/>
          <w:sz w:val="20"/>
          <w:szCs w:val="20"/>
        </w:rPr>
        <w:t xml:space="preserve">1.1 Cargos que califican como PEP en México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Titulares del Poder Ejecutivo Federal, Estatal o Municipal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Legisladores federales y locales (Senadores, Diputados)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Magistrados y Jueces del Poder Judicial Federal y Estatal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Secretarios de Estado y equivalentes en gobiernos estatales; integrantes de ayuntamientos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Directores generales de organismos descentralizados y empresas de participación estatal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Embajadores y Cónsules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Altos mandos de las Fuerzas Armadas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Titulares de órganos constitucionales autónomos; funcionarios o miembros importantes de partidos políticos</w:t>
      </w:r>
    </w:p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II. Familiares y Asociados de PEP's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Cónyuge, concubina o concubinario del PEP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Parientes por consanguinidad o afinidad hasta el segundo grado (padres, hijos, abuelos, nietos, hermanos y sus equivalentes por afinidad)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Asociados o socios de personas morales con las que el PEP mantenga vínculos patrimoniales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Las demás personas que se asimilen conforme al Art. 3, fr. IX Bis, de la Ley y al Art. 23 Quáter de las RCG</w:t>
      </w:r>
    </w:p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III. Roles a evaluar en un acto ante el Corredor Público</w:t>
      </w:r>
    </w:p>
    <w:p>
      <w:pPr>
        <w:spacing w:after="110"/>
      </w:pPr>
      <w:r>
        <w:rPr>
          <w:rFonts w:ascii="Calibri" w:cs="Calibri" w:eastAsia="Calibri" w:hAnsi="Calibri"/>
          <w:sz w:val="20"/>
          <w:szCs w:val="20"/>
        </w:rPr>
        <w:t xml:space="preserve">Un acto ante la fe pública del Corredor puede involucrar varios roles que deben evaluarse de forma independiente: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Inciso a): solicitante del avalúo y propietario del bien avaluado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Inciso b): socios o accionistas fundadores, adquirentes y enajenantes de acciones o partes sociales, representante que comparece y beneficiario controlador (D7-COR Sección E)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Inciso c): fideicomitente(s), fideicomisario(s), cedente y cesionario de derechos y, en su caso, miembros del comité técnico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Inciso d): mutuante o acreditante, mutuatario o acreditado y, en su caso, garantes</w:t>
      </w:r>
    </w:p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IV. Procedimiento de Identificación — 6 Pasos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2350"/>
        <w:gridCol w:w="2000"/>
      </w:tblGrid>
      <w:tr>
        <w:trPr>
          <w:tblHeader/>
        </w:trPr>
        <w:tc>
          <w:tcPr>
            <w:tcW w:type="dxa" w:w="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235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2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Plazo</w:t>
            </w:r>
          </w:p>
        </w:tc>
      </w:tr>
      <w:tr>
        <w:tc>
          <w:tcPr>
            <w:tcW w:type="dxa" w:w="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Preguntar a cada parte compareciente (y, en su caso, al beneficiario controlador identificado): ¿Es usted o tiene familiares en cargos públicos?</w:t>
            </w:r>
          </w:p>
        </w:tc>
        <w:tc>
          <w:tcPr>
            <w:tcW w:type="dxa" w:w="23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Corredor / Enc. Operativo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Primer contacto</w:t>
            </w:r>
          </w:p>
        </w:tc>
      </w:tr>
      <w:tr>
        <w:tc>
          <w:tcPr>
            <w:tcW w:type="dxa" w:w="6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4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Consultar la aplicación Consulta PEP 2.0 de la UIF (disponible nueve meses después de la entrada en vigor del Acuerdo 115/2026 — Art. 23 Quáter 1 RCG) y fuentes oficiales</w:t>
            </w:r>
          </w:p>
        </w:tc>
        <w:tc>
          <w:tcPr>
            <w:tcW w:type="dxa" w:w="235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Corredor / Enc. Operativo</w:t>
            </w:r>
          </w:p>
        </w:tc>
        <w:tc>
          <w:tcPr>
            <w:tcW w:type="dxa" w:w="20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Antes de formalizar</w:t>
            </w:r>
          </w:p>
        </w:tc>
      </w:tr>
      <w:tr>
        <w:tc>
          <w:tcPr>
            <w:tcW w:type="dxa" w:w="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Consultar las listas que dé a conocer la UIF (Art. 38 RCG) y las listas internacionales de sanciones (ONU, OFAC)</w:t>
            </w:r>
          </w:p>
        </w:tc>
        <w:tc>
          <w:tcPr>
            <w:tcW w:type="dxa" w:w="23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Corredor / Enc. Operativo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Antes de formalizar</w:t>
            </w:r>
          </w:p>
        </w:tc>
      </w:tr>
      <w:tr>
        <w:tc>
          <w:tcPr>
            <w:tcW w:type="dxa" w:w="6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4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 alguna de las partes ES PEP: activar las medidas de debida diligencia reforzada (Sección V)</w:t>
            </w:r>
          </w:p>
        </w:tc>
        <w:tc>
          <w:tcPr>
            <w:tcW w:type="dxa" w:w="235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Corredor Titular</w:t>
            </w:r>
          </w:p>
        </w:tc>
        <w:tc>
          <w:tcPr>
            <w:tcW w:type="dxa" w:w="20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Inmediatamente</w:t>
            </w:r>
          </w:p>
        </w:tc>
      </w:tr>
      <w:tr>
        <w:tc>
          <w:tcPr>
            <w:tcW w:type="dxa" w:w="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Documentar el resultado en el expediente KYC (D7-COR, Sección F)</w:t>
            </w:r>
          </w:p>
        </w:tc>
        <w:tc>
          <w:tcPr>
            <w:tcW w:type="dxa" w:w="23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Corredor / Enc. Operativo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Mismo día</w:t>
            </w:r>
          </w:p>
        </w:tc>
      </w:tr>
      <w:tr>
        <w:tc>
          <w:tcPr>
            <w:tcW w:type="dxa" w:w="6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44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Registrar en el Control de PEP's (Sección VI) — el Corredor Público Titular asume la responsabilidad personal del registro</w:t>
            </w:r>
          </w:p>
        </w:tc>
        <w:tc>
          <w:tcPr>
            <w:tcW w:type="dxa" w:w="235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Corredor Titular</w:t>
            </w:r>
          </w:p>
        </w:tc>
        <w:tc>
          <w:tcPr>
            <w:tcW w:type="dxa" w:w="20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Mismo día</w:t>
            </w:r>
          </w:p>
        </w:tc>
      </w:tr>
    </w:tbl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V. Medidas de Debida Diligencia Reforzada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Aprobación personal del Corredor Público Titular ANTES de formalizar el acto; si el PEP es además de riesgo alto, constancia firmada de los motivos considerados para formalizarlo (Art. 23 Ter 5 RCG).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Solicitud de documentación adicional: declaración fiscal de los últimos 2 años y estados de cuenta de los últimos 6 meses, o los que resulten pertinentes al acto.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Verificación de que el valor del acto sea congruente con los ingresos, funciones y nivel de responsabilidad de la persona PEP (Art. 23 Bis 3 RCG).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Monitoreo reforzado durante la vigencia del acto (por ejemplo, en fideicomisos y créditos de larga duración).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Registro detallado de todas las medidas aplicadas en el expediente KYC (D7-COR). Las PEP extranjeras se clasifican como riesgo alto (Art. 23 Bis 4 RCG).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Aviso por sospecha dentro de las 24 horas siguientes si surgen indicios — recordando que los actos de los incisos b), c) y d) ya son SIEMPRE objeto de Aviso por sí mismos.</w:t>
      </w:r>
    </w:p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VI. Registro de PEP's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2350"/>
        <w:gridCol w:w="2200"/>
        <w:gridCol w:w="15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35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Cargo / Vínculo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Acto relacionado (D7-COR)</w:t>
            </w:r>
          </w:p>
        </w:tc>
        <w:tc>
          <w:tcPr>
            <w:tcW w:type="dxa" w:w="15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/>
        </w:tc>
        <w:tc>
          <w:tcPr>
            <w:tcW w:type="dxa" w:w="2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/>
        </w:tc>
        <w:tc>
          <w:tcPr>
            <w:tcW w:type="dxa" w:w="23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/>
        </w:tc>
        <w:tc>
          <w:tcPr>
            <w:tcW w:type="dxa" w:w="22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/>
        </w:tc>
        <w:tc>
          <w:tcPr>
            <w:tcW w:type="dxa" w:w="1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/>
        </w:tc>
      </w:tr>
      <w:tr>
        <w:tc>
          <w:tcPr>
            <w:tcW w:type="dxa" w:w="7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/>
        </w:tc>
        <w:tc>
          <w:tcPr>
            <w:tcW w:type="dxa" w:w="26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/>
        </w:tc>
        <w:tc>
          <w:tcPr>
            <w:tcW w:type="dxa" w:w="235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/>
        </w:tc>
        <w:tc>
          <w:tcPr>
            <w:tcW w:type="dxa" w:w="22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/>
        </w:tc>
        <w:tc>
          <w:tcPr>
            <w:tcW w:type="dxa" w:w="15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/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/>
        </w:tc>
        <w:tc>
          <w:tcPr>
            <w:tcW w:type="dxa" w:w="2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/>
        </w:tc>
        <w:tc>
          <w:tcPr>
            <w:tcW w:type="dxa" w:w="23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/>
        </w:tc>
        <w:tc>
          <w:tcPr>
            <w:tcW w:type="dxa" w:w="22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/>
        </w:tc>
        <w:tc>
          <w:tcPr>
            <w:tcW w:type="dxa" w:w="1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/>
        </w:tc>
      </w:tr>
      <w:tr>
        <w:tc>
          <w:tcPr>
            <w:tcW w:type="dxa" w:w="7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/>
        </w:tc>
        <w:tc>
          <w:tcPr>
            <w:tcW w:type="dxa" w:w="26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/>
        </w:tc>
        <w:tc>
          <w:tcPr>
            <w:tcW w:type="dxa" w:w="235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/>
        </w:tc>
        <w:tc>
          <w:tcPr>
            <w:tcW w:type="dxa" w:w="22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/>
        </w:tc>
        <w:tc>
          <w:tcPr>
            <w:tcW w:type="dxa" w:w="15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/>
        </w:tc>
      </w:tr>
    </w:tbl>
    <w:p/>
    <w:p>
      <w:pPr>
        <w:pBdr>
          <w:top w:val="single" w:color="B08D57" w:sz="4" w:space="4"/>
        </w:pBdr>
        <w:spacing w:before="200"/>
      </w:pPr>
      <w:r>
        <w:rPr>
          <w:rFonts w:ascii="Calibri" w:cs="Calibri" w:eastAsia="Calibri" w:hAnsi="Calibri"/>
          <w:color w:val="808080"/>
          <w:sz w:val="16"/>
          <w:szCs w:val="16"/>
        </w:rPr>
        <w:t xml:space="preserve">CERTUS CONSULTORES  |  Certus PLD  |  Mérida, Yucatán  |  999 163 1363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2026-09-09T14:48:46.170Z</dcterms:created>
  <dcterms:modified xsi:type="dcterms:W3CDTF">2026-09-09T14:48:46.171Z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