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60"/>
              <w:left w:type="dxa" w:w="90"/>
              <w:bottom w:type="dxa" w:w="60"/>
              <w:right w:type="dxa" w:w="90"/>
            </w:tcMar>
          </w:tcPr>
          <w:p>
            <w:r>
              <w:rPr>
                <w:b/>
                <w:bCs/>
                <w:color w:val="FFFFFF"/>
                <w:sz w:val="20"/>
                <w:szCs w:val="20"/>
              </w:rPr>
              <w:t xml:space="preserve">CERTUS PLD  |  D12 — Control de Avisos ante el SAT — Libro Mensual</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Mar>
              <w:top w:type="dxa" w:w="60"/>
              <w:left w:type="dxa" w:w="90"/>
              <w:bottom w:type="dxa" w:w="60"/>
              <w:right w:type="dxa" w:w="90"/>
            </w:tcMar>
          </w:tcPr>
          <w:p>
            <w:r>
              <w:rPr>
                <w:b w:val="false"/>
                <w:bCs w:val="false"/>
                <w:sz w:val="17"/>
                <w:szCs w:val="17"/>
              </w:rPr>
              <w:t xml:space="preserve">Empresa:</w:t>
            </w:r>
          </w:p>
        </w:tc>
        <w:tc>
          <w:tcPr>
            <w:tcW w:type="dxa" w:w="6800"/>
            <w:tcMar>
              <w:top w:type="dxa" w:w="60"/>
              <w:left w:type="dxa" w:w="90"/>
              <w:bottom w:type="dxa" w:w="60"/>
              <w:right w:type="dxa" w:w="90"/>
            </w:tcMar>
          </w:tcPr>
          <w:p>
            <w:r>
              <w:rPr>
                <w:b w:val="false"/>
                <w:bCs w:val="false"/>
                <w:sz w:val="17"/>
                <w:szCs w:val="17"/>
              </w:rPr>
              <w:t xml:space="preserve">[EMPRESA]</w:t>
            </w:r>
          </w:p>
        </w:tc>
      </w:tr>
      <w:tr>
        <w:tc>
          <w:tcPr>
            <w:tcW w:type="dxa" w:w="2800"/>
            <w:tcMar>
              <w:top w:type="dxa" w:w="60"/>
              <w:left w:type="dxa" w:w="90"/>
              <w:bottom w:type="dxa" w:w="60"/>
              <w:right w:type="dxa" w:w="90"/>
            </w:tcMar>
          </w:tcPr>
          <w:p>
            <w:r>
              <w:rPr>
                <w:b w:val="false"/>
                <w:bCs w:val="false"/>
                <w:sz w:val="17"/>
                <w:szCs w:val="17"/>
              </w:rPr>
              <w:t xml:space="preserve">Año:</w:t>
            </w:r>
          </w:p>
        </w:tc>
        <w:tc>
          <w:tcPr>
            <w:tcW w:type="dxa" w:w="6800"/>
            <w:tcMar>
              <w:top w:type="dxa" w:w="60"/>
              <w:left w:type="dxa" w:w="90"/>
              <w:bottom w:type="dxa" w:w="60"/>
              <w:right w:type="dxa" w:w="90"/>
            </w:tcMar>
          </w:tcPr>
          <w:p>
            <w:r>
              <w:rPr>
                <w:b w:val="false"/>
                <w:bCs w:val="false"/>
                <w:sz w:val="17"/>
                <w:szCs w:val="17"/>
              </w:rPr>
              <w:t xml:space="preserve">[Año]</w:t>
            </w:r>
          </w:p>
        </w:tc>
      </w:tr>
      <w:tr>
        <w:tc>
          <w:tcPr>
            <w:tcW w:type="dxa" w:w="2800"/>
            <w:tcMar>
              <w:top w:type="dxa" w:w="60"/>
              <w:left w:type="dxa" w:w="90"/>
              <w:bottom w:type="dxa" w:w="60"/>
              <w:right w:type="dxa" w:w="90"/>
            </w:tcMar>
          </w:tcPr>
          <w:p>
            <w:r>
              <w:rPr>
                <w:b w:val="false"/>
                <w:bCs w:val="false"/>
                <w:sz w:val="17"/>
                <w:szCs w:val="17"/>
              </w:rPr>
              <w:t xml:space="preserve">Representante de Cumplimiento:</w:t>
            </w:r>
          </w:p>
        </w:tc>
        <w:tc>
          <w:tcPr>
            <w:tcW w:type="dxa" w:w="6800"/>
            <w:tcMar>
              <w:top w:type="dxa" w:w="60"/>
              <w:left w:type="dxa" w:w="90"/>
              <w:bottom w:type="dxa" w:w="60"/>
              <w:right w:type="dxa" w:w="90"/>
            </w:tcMar>
          </w:tcPr>
          <w:p>
            <w:r>
              <w:rPr>
                <w:b w:val="false"/>
                <w:bCs w:val="false"/>
                <w:sz w:val="17"/>
                <w:szCs w:val="17"/>
              </w:rPr>
              <w:t xml:space="preserve">[Nombre]</w:t>
            </w:r>
          </w:p>
        </w:tc>
      </w:tr>
      <w:tr>
        <w:tc>
          <w:tcPr>
            <w:tcW w:type="dxa" w:w="2800"/>
            <w:tcMar>
              <w:top w:type="dxa" w:w="60"/>
              <w:left w:type="dxa" w:w="90"/>
              <w:bottom w:type="dxa" w:w="60"/>
              <w:right w:type="dxa" w:w="90"/>
            </w:tcMar>
          </w:tcPr>
          <w:p>
            <w:r>
              <w:rPr>
                <w:b w:val="false"/>
                <w:bCs w:val="false"/>
                <w:sz w:val="17"/>
                <w:szCs w:val="17"/>
              </w:rPr>
              <w:t xml:space="preserve">Número de registro SPPLD:</w:t>
            </w:r>
          </w:p>
        </w:tc>
        <w:tc>
          <w:tcPr>
            <w:tcW w:type="dxa" w:w="6800"/>
            <w:tcMar>
              <w:top w:type="dxa" w:w="60"/>
              <w:left w:type="dxa" w:w="90"/>
              <w:bottom w:type="dxa" w:w="60"/>
              <w:right w:type="dxa" w:w="90"/>
            </w:tcMar>
          </w:tcPr>
          <w:p>
            <w:r>
              <w:rPr>
                <w:b w:val="false"/>
                <w:bCs w:val="false"/>
                <w:sz w:val="17"/>
                <w:szCs w:val="17"/>
              </w:rPr>
              <w:t xml:space="preserve">[Número]</w:t>
            </w:r>
          </w:p>
        </w:tc>
      </w:tr>
      <w:tr>
        <w:tc>
          <w:tcPr>
            <w:tcW w:type="dxa" w:w="2800"/>
            <w:tcMar>
              <w:top w:type="dxa" w:w="60"/>
              <w:left w:type="dxa" w:w="90"/>
              <w:bottom w:type="dxa" w:w="60"/>
              <w:right w:type="dxa" w:w="90"/>
            </w:tcMar>
          </w:tcPr>
          <w:p>
            <w:r>
              <w:rPr>
                <w:b w:val="false"/>
                <w:bCs w:val="false"/>
                <w:sz w:val="17"/>
                <w:szCs w:val="17"/>
              </w:rPr>
              <w:t xml:space="preserve">Soporte técnico Certus PLD:</w:t>
            </w:r>
          </w:p>
        </w:tc>
        <w:tc>
          <w:tcPr>
            <w:tcW w:type="dxa" w:w="6800"/>
            <w:tcMar>
              <w:top w:type="dxa" w:w="60"/>
              <w:left w:type="dxa" w:w="90"/>
              <w:bottom w:type="dxa" w:w="60"/>
              <w:right w:type="dxa" w:w="90"/>
            </w:tcMar>
          </w:tcPr>
          <w:p>
            <w:r>
              <w:rPr>
                <w:b w:val="false"/>
                <w:bCs w:val="false"/>
                <w:sz w:val="17"/>
                <w:szCs w:val="17"/>
              </w:rPr>
              <w:t xml:space="preserve">contacto@certusconsultores.com.mx │ 999 163 1363</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los Arts. 24 Bis y 24 Bis 1 (fecha del acto y Aviso mensual consolidado para desarrollos inmobiliarios) y los Arts. 26 Bis / 26 Bis 1 (plazo de 24 horas para Avisos por sospecha o por indicios) de las Reglas de Carácter General reformadas por el Acuerdo 115/2026 (DOF 07/08/2026).</w:t>
      </w:r>
    </w:p>
    <w:p>
      <w:pPr>
        <w:pStyle w:val="Heading2"/>
        <w:spacing w:after="120" w:before="320"/>
      </w:pPr>
      <w:r>
        <w:t xml:space="preserve">I. Información general</w:t>
      </w:r>
    </w:p>
    <w:p>
      <w:pPr>
        <w:spacing w:after="120"/>
      </w:pPr>
      <w:r>
        <w:rPr>
          <w:sz w:val="20"/>
          <w:szCs w:val="20"/>
        </w:rPr>
        <w:t xml:space="preserve">Los Avisos de operaciones deben presentarse al SAT a más tardar el día 17 del mes inmediato siguiente a aquel en que se llevó a cabo la operación (Art. 23 LFPIORPI). En meses sin operaciones que reportar, se presenta un Informe en ceros dentro del mismo plazo (Art. 25 RCG). La presentación extemporánea dentro de los 30 días siguientes al plazo se sanciona con 200 a 2,000 UMA (Arts. 53, fr. III, y 54, fr. I, de la Ley); la omisión del Aviso, con 10,000 a 65,000 UMA, o del 10% al 100% del valor del acto, la que resulte mayor (Art. 54, fr. III). Este plazo mensual es independiente del plazo de 24 horas aplicable a los Avisos por sospecha o por indicios (Sección III; ver también Documento D9).</w:t>
      </w:r>
    </w:p>
    <w:p>
      <w:pPr>
        <w:spacing w:after="80" w:before="160"/>
      </w:pPr>
      <w:r>
        <w:rPr>
          <w:b/>
          <w:bCs/>
          <w:color w:val="B08D57"/>
          <w:sz w:val="21"/>
          <w:szCs w:val="21"/>
        </w:rPr>
        <w:t xml:space="preserve">1.1 Umbrales que activan la obligación de Aviso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F3864" w:val="clear"/>
            <w:tcMar>
              <w:top w:type="dxa" w:w="60"/>
              <w:left w:type="dxa" w:w="90"/>
              <w:bottom w:type="dxa" w:w="60"/>
              <w:right w:type="dxa" w:w="90"/>
            </w:tcMar>
          </w:tcPr>
          <w:p>
            <w:r>
              <w:rPr>
                <w:b/>
                <w:bCs/>
                <w:color w:val="FFFFFF"/>
                <w:sz w:val="17"/>
                <w:szCs w:val="17"/>
              </w:rPr>
              <w:t xml:space="preserve">Fracción LFPIORPI</w:t>
            </w:r>
          </w:p>
        </w:tc>
        <w:tc>
          <w:tcPr>
            <w:tcW w:type="dxa" w:w="2800"/>
            <w:shd w:fill="1F3864" w:val="clear"/>
            <w:tcMar>
              <w:top w:type="dxa" w:w="60"/>
              <w:left w:type="dxa" w:w="90"/>
              <w:bottom w:type="dxa" w:w="60"/>
              <w:right w:type="dxa" w:w="90"/>
            </w:tcMar>
          </w:tcPr>
          <w:p>
            <w:r>
              <w:rPr>
                <w:b/>
                <w:bCs/>
                <w:color w:val="FFFFFF"/>
                <w:sz w:val="17"/>
                <w:szCs w:val="17"/>
              </w:rPr>
              <w:t xml:space="preserve">Actividad</w:t>
            </w:r>
          </w:p>
        </w:tc>
        <w:tc>
          <w:tcPr>
            <w:tcW w:type="dxa" w:w="2400"/>
            <w:shd w:fill="1F3864" w:val="clear"/>
            <w:tcMar>
              <w:top w:type="dxa" w:w="60"/>
              <w:left w:type="dxa" w:w="90"/>
              <w:bottom w:type="dxa" w:w="60"/>
              <w:right w:type="dxa" w:w="90"/>
            </w:tcMar>
          </w:tcPr>
          <w:p>
            <w:r>
              <w:rPr>
                <w:b/>
                <w:bCs/>
                <w:color w:val="FFFFFF"/>
                <w:sz w:val="17"/>
                <w:szCs w:val="17"/>
              </w:rPr>
              <w:t xml:space="preserve">Umbral de Aviso</w:t>
            </w:r>
          </w:p>
        </w:tc>
        <w:tc>
          <w:tcPr>
            <w:tcW w:type="dxa" w:w="2600"/>
            <w:shd w:fill="1F3864" w:val="clear"/>
            <w:tcMar>
              <w:top w:type="dxa" w:w="60"/>
              <w:left w:type="dxa" w:w="90"/>
              <w:bottom w:type="dxa" w:w="60"/>
              <w:right w:type="dxa" w:w="90"/>
            </w:tcMar>
          </w:tcPr>
          <w:p>
            <w:r>
              <w:rPr>
                <w:b/>
                <w:bCs/>
                <w:color w:val="FFFFFF"/>
                <w:sz w:val="17"/>
                <w:szCs w:val="17"/>
              </w:rPr>
              <w:t xml:space="preserve">Equivalente MXN</w:t>
            </w:r>
          </w:p>
        </w:tc>
      </w:tr>
      <w:tr>
        <w:tc>
          <w:tcPr>
            <w:tcW w:type="dxa" w:w="1800"/>
            <w:tcMar>
              <w:top w:type="dxa" w:w="60"/>
              <w:left w:type="dxa" w:w="90"/>
              <w:bottom w:type="dxa" w:w="60"/>
              <w:right w:type="dxa" w:w="90"/>
            </w:tcMar>
          </w:tcPr>
          <w:p>
            <w:r>
              <w:rPr>
                <w:b w:val="false"/>
                <w:bCs w:val="false"/>
                <w:sz w:val="17"/>
                <w:szCs w:val="17"/>
              </w:rPr>
              <w:t xml:space="preserve">V</w:t>
            </w:r>
          </w:p>
        </w:tc>
        <w:tc>
          <w:tcPr>
            <w:tcW w:type="dxa" w:w="2800"/>
            <w:tcMar>
              <w:top w:type="dxa" w:w="60"/>
              <w:left w:type="dxa" w:w="90"/>
              <w:bottom w:type="dxa" w:w="60"/>
              <w:right w:type="dxa" w:w="90"/>
            </w:tcMar>
          </w:tcPr>
          <w:p>
            <w:r>
              <w:rPr>
                <w:b w:val="false"/>
                <w:bCs w:val="false"/>
                <w:sz w:val="17"/>
                <w:szCs w:val="17"/>
              </w:rPr>
              <w:t xml:space="preserve">Compraventa / Intermediación</w:t>
            </w:r>
          </w:p>
        </w:tc>
        <w:tc>
          <w:tcPr>
            <w:tcW w:type="dxa" w:w="2400"/>
            <w:tcMar>
              <w:top w:type="dxa" w:w="60"/>
              <w:left w:type="dxa" w:w="90"/>
              <w:bottom w:type="dxa" w:w="60"/>
              <w:right w:type="dxa" w:w="90"/>
            </w:tcMar>
          </w:tcPr>
          <w:p>
            <w:r>
              <w:rPr>
                <w:b w:val="false"/>
                <w:bCs w:val="false"/>
                <w:sz w:val="17"/>
                <w:szCs w:val="17"/>
              </w:rPr>
              <w:t xml:space="preserve">8,025 UMA por operación</w:t>
            </w:r>
          </w:p>
        </w:tc>
        <w:tc>
          <w:tcPr>
            <w:tcW w:type="dxa" w:w="2600"/>
            <w:tcMar>
              <w:top w:type="dxa" w:w="60"/>
              <w:left w:type="dxa" w:w="90"/>
              <w:bottom w:type="dxa" w:w="60"/>
              <w:right w:type="dxa" w:w="90"/>
            </w:tcMar>
          </w:tcPr>
          <w:p>
            <w:r>
              <w:rPr>
                <w:b w:val="false"/>
                <w:bCs w:val="false"/>
                <w:sz w:val="17"/>
                <w:szCs w:val="17"/>
              </w:rPr>
              <w:t xml:space="preserve">~$941,413 MXN</w:t>
            </w:r>
          </w:p>
        </w:tc>
      </w:tr>
      <w:tr>
        <w:tc>
          <w:tcPr>
            <w:tcW w:type="dxa" w:w="1800"/>
            <w:tcMar>
              <w:top w:type="dxa" w:w="60"/>
              <w:left w:type="dxa" w:w="90"/>
              <w:bottom w:type="dxa" w:w="60"/>
              <w:right w:type="dxa" w:w="90"/>
            </w:tcMar>
          </w:tcPr>
          <w:p>
            <w:r>
              <w:rPr>
                <w:b w:val="false"/>
                <w:bCs w:val="false"/>
                <w:sz w:val="17"/>
                <w:szCs w:val="17"/>
              </w:rPr>
              <w:t xml:space="preserve">V Bis</w:t>
            </w:r>
          </w:p>
        </w:tc>
        <w:tc>
          <w:tcPr>
            <w:tcW w:type="dxa" w:w="2800"/>
            <w:tcMar>
              <w:top w:type="dxa" w:w="60"/>
              <w:left w:type="dxa" w:w="90"/>
              <w:bottom w:type="dxa" w:w="60"/>
              <w:right w:type="dxa" w:w="90"/>
            </w:tcMar>
          </w:tcPr>
          <w:p>
            <w:r>
              <w:rPr>
                <w:b w:val="false"/>
                <w:bCs w:val="false"/>
                <w:sz w:val="17"/>
                <w:szCs w:val="17"/>
              </w:rPr>
              <w:t xml:space="preserve">Desarrollo / Preventas</w:t>
            </w:r>
          </w:p>
        </w:tc>
        <w:tc>
          <w:tcPr>
            <w:tcW w:type="dxa" w:w="2400"/>
            <w:tcMar>
              <w:top w:type="dxa" w:w="60"/>
              <w:left w:type="dxa" w:w="90"/>
              <w:bottom w:type="dxa" w:w="60"/>
              <w:right w:type="dxa" w:w="90"/>
            </w:tcMar>
          </w:tcPr>
          <w:p>
            <w:r>
              <w:rPr>
                <w:b w:val="false"/>
                <w:bCs w:val="false"/>
                <w:sz w:val="17"/>
                <w:szCs w:val="17"/>
              </w:rPr>
              <w:t xml:space="preserve">8,025 UMA por operación</w:t>
            </w:r>
          </w:p>
        </w:tc>
        <w:tc>
          <w:tcPr>
            <w:tcW w:type="dxa" w:w="2600"/>
            <w:tcMar>
              <w:top w:type="dxa" w:w="60"/>
              <w:left w:type="dxa" w:w="90"/>
              <w:bottom w:type="dxa" w:w="60"/>
              <w:right w:type="dxa" w:w="90"/>
            </w:tcMar>
          </w:tcPr>
          <w:p>
            <w:r>
              <w:rPr>
                <w:b w:val="false"/>
                <w:bCs w:val="false"/>
                <w:sz w:val="17"/>
                <w:szCs w:val="17"/>
              </w:rPr>
              <w:t xml:space="preserve">~$941,413 MXN</w:t>
            </w:r>
          </w:p>
        </w:tc>
      </w:tr>
      <w:tr>
        <w:tc>
          <w:tcPr>
            <w:tcW w:type="dxa" w:w="1800"/>
            <w:tcMar>
              <w:top w:type="dxa" w:w="60"/>
              <w:left w:type="dxa" w:w="90"/>
              <w:bottom w:type="dxa" w:w="60"/>
              <w:right w:type="dxa" w:w="90"/>
            </w:tcMar>
          </w:tcPr>
          <w:p>
            <w:r>
              <w:rPr>
                <w:b w:val="false"/>
                <w:bCs w:val="false"/>
                <w:sz w:val="17"/>
                <w:szCs w:val="17"/>
              </w:rPr>
              <w:t xml:space="preserve">XV</w:t>
            </w:r>
          </w:p>
        </w:tc>
        <w:tc>
          <w:tcPr>
            <w:tcW w:type="dxa" w:w="2800"/>
            <w:tcMar>
              <w:top w:type="dxa" w:w="60"/>
              <w:left w:type="dxa" w:w="90"/>
              <w:bottom w:type="dxa" w:w="60"/>
              <w:right w:type="dxa" w:w="90"/>
            </w:tcMar>
          </w:tcPr>
          <w:p>
            <w:r>
              <w:rPr>
                <w:b w:val="false"/>
                <w:bCs w:val="false"/>
                <w:sz w:val="17"/>
                <w:szCs w:val="17"/>
              </w:rPr>
              <w:t xml:space="preserve">Arrendamiento mensual</w:t>
            </w:r>
          </w:p>
        </w:tc>
        <w:tc>
          <w:tcPr>
            <w:tcW w:type="dxa" w:w="2400"/>
            <w:tcMar>
              <w:top w:type="dxa" w:w="60"/>
              <w:left w:type="dxa" w:w="90"/>
              <w:bottom w:type="dxa" w:w="60"/>
              <w:right w:type="dxa" w:w="90"/>
            </w:tcMar>
          </w:tcPr>
          <w:p>
            <w:r>
              <w:rPr>
                <w:b w:val="false"/>
                <w:bCs w:val="false"/>
                <w:sz w:val="17"/>
                <w:szCs w:val="17"/>
              </w:rPr>
              <w:t xml:space="preserve">3,210 UMA mensuales</w:t>
            </w:r>
          </w:p>
        </w:tc>
        <w:tc>
          <w:tcPr>
            <w:tcW w:type="dxa" w:w="2600"/>
            <w:tcMar>
              <w:top w:type="dxa" w:w="60"/>
              <w:left w:type="dxa" w:w="90"/>
              <w:bottom w:type="dxa" w:w="60"/>
              <w:right w:type="dxa" w:w="90"/>
            </w:tcMar>
          </w:tcPr>
          <w:p>
            <w:r>
              <w:rPr>
                <w:b w:val="false"/>
                <w:bCs w:val="false"/>
                <w:sz w:val="17"/>
                <w:szCs w:val="17"/>
              </w:rPr>
              <w:t xml:space="preserve">~$376,565 MXN/mes</w:t>
            </w:r>
          </w:p>
        </w:tc>
      </w:tr>
    </w:tbl>
    <w:p>
      <w:pPr>
        <w:spacing w:after="80" w:before="160"/>
      </w:pPr>
      <w:r>
        <w:rPr>
          <w:b/>
          <w:bCs/>
          <w:color w:val="B08D57"/>
          <w:sz w:val="21"/>
          <w:szCs w:val="21"/>
        </w:rPr>
        <w:t xml:space="preserve">1.2 Determinación de la fecha del acto (Art. 24 Bis RCG)</w:t>
      </w:r>
    </w:p>
    <w:p>
      <w:pPr>
        <w:spacing w:after="120"/>
      </w:pPr>
      <w:r>
        <w:rPr>
          <w:sz w:val="20"/>
          <w:szCs w:val="20"/>
        </w:rPr>
        <w:t xml:space="preserve">El plazo (a más tardar el día 17 del mes inmediato siguiente) se computa a partir de la fecha del acto u operación, determinada conforme a la fracción aplicable: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1F3864" w:val="clear"/>
            <w:tcMar>
              <w:top w:type="dxa" w:w="60"/>
              <w:left w:type="dxa" w:w="90"/>
              <w:bottom w:type="dxa" w:w="60"/>
              <w:right w:type="dxa" w:w="90"/>
            </w:tcMar>
          </w:tcPr>
          <w:p>
            <w:r>
              <w:rPr>
                <w:b/>
                <w:bCs/>
                <w:color w:val="FFFFFF"/>
                <w:sz w:val="17"/>
                <w:szCs w:val="17"/>
              </w:rPr>
              <w:t xml:space="preserve">Fracción</w:t>
            </w:r>
          </w:p>
        </w:tc>
        <w:tc>
          <w:tcPr>
            <w:tcW w:type="dxa" w:w="5600"/>
            <w:shd w:fill="1F3864" w:val="clear"/>
            <w:tcMar>
              <w:top w:type="dxa" w:w="60"/>
              <w:left w:type="dxa" w:w="90"/>
              <w:bottom w:type="dxa" w:w="60"/>
              <w:right w:type="dxa" w:w="90"/>
            </w:tcMar>
          </w:tcPr>
          <w:p>
            <w:r>
              <w:rPr>
                <w:b/>
                <w:bCs/>
                <w:color w:val="FFFFFF"/>
                <w:sz w:val="17"/>
                <w:szCs w:val="17"/>
              </w:rPr>
              <w:t xml:space="preserve">Fecha del acto</w:t>
            </w:r>
          </w:p>
        </w:tc>
      </w:tr>
      <w:tr>
        <w:tc>
          <w:tcPr>
            <w:tcW w:type="dxa" w:w="2000"/>
            <w:tcMar>
              <w:top w:type="dxa" w:w="60"/>
              <w:left w:type="dxa" w:w="90"/>
              <w:bottom w:type="dxa" w:w="60"/>
              <w:right w:type="dxa" w:w="90"/>
            </w:tcMar>
          </w:tcPr>
          <w:p>
            <w:r>
              <w:rPr>
                <w:b w:val="false"/>
                <w:bCs w:val="false"/>
                <w:sz w:val="17"/>
                <w:szCs w:val="17"/>
              </w:rPr>
              <w:t xml:space="preserve">Fracción V</w:t>
            </w:r>
          </w:p>
        </w:tc>
        <w:tc>
          <w:tcPr>
            <w:tcW w:type="dxa" w:w="5600"/>
            <w:tcMar>
              <w:top w:type="dxa" w:w="60"/>
              <w:left w:type="dxa" w:w="90"/>
              <w:bottom w:type="dxa" w:w="60"/>
              <w:right w:type="dxa" w:w="90"/>
            </w:tcMar>
          </w:tcPr>
          <w:p>
            <w:r>
              <w:rPr>
                <w:b w:val="false"/>
                <w:bCs w:val="false"/>
                <w:sz w:val="17"/>
                <w:szCs w:val="17"/>
              </w:rPr>
              <w:t xml:space="preserve">Fecha en que se tenga por liquidada la operación y se alcanzó el umbral de Aviso.</w:t>
            </w:r>
          </w:p>
        </w:tc>
      </w:tr>
      <w:tr>
        <w:tc>
          <w:tcPr>
            <w:tcW w:type="dxa" w:w="2000"/>
            <w:tcMar>
              <w:top w:type="dxa" w:w="60"/>
              <w:left w:type="dxa" w:w="90"/>
              <w:bottom w:type="dxa" w:w="60"/>
              <w:right w:type="dxa" w:w="90"/>
            </w:tcMar>
          </w:tcPr>
          <w:p>
            <w:r>
              <w:rPr>
                <w:b w:val="false"/>
                <w:bCs w:val="false"/>
                <w:sz w:val="17"/>
                <w:szCs w:val="17"/>
              </w:rPr>
              <w:t xml:space="preserve">Fracción V Bis</w:t>
            </w:r>
          </w:p>
        </w:tc>
        <w:tc>
          <w:tcPr>
            <w:tcW w:type="dxa" w:w="5600"/>
            <w:tcMar>
              <w:top w:type="dxa" w:w="60"/>
              <w:left w:type="dxa" w:w="90"/>
              <w:bottom w:type="dxa" w:w="60"/>
              <w:right w:type="dxa" w:w="90"/>
            </w:tcMar>
          </w:tcPr>
          <w:p>
            <w:r>
              <w:rPr>
                <w:b w:val="false"/>
                <w:bCs w:val="false"/>
                <w:sz w:val="17"/>
                <w:szCs w:val="17"/>
              </w:rPr>
              <w:t xml:space="preserve">Fecha en que se recibió y destinó la última aportación a un desarrollo inmobiliario, dentro del mes calendario correspondiente.</w:t>
            </w:r>
          </w:p>
        </w:tc>
      </w:tr>
      <w:tr>
        <w:tc>
          <w:tcPr>
            <w:tcW w:type="dxa" w:w="2000"/>
            <w:tcMar>
              <w:top w:type="dxa" w:w="60"/>
              <w:left w:type="dxa" w:w="90"/>
              <w:bottom w:type="dxa" w:w="60"/>
              <w:right w:type="dxa" w:w="90"/>
            </w:tcMar>
          </w:tcPr>
          <w:p>
            <w:r>
              <w:rPr>
                <w:b w:val="false"/>
                <w:bCs w:val="false"/>
                <w:sz w:val="17"/>
                <w:szCs w:val="17"/>
              </w:rPr>
              <w:t xml:space="preserve">Fracción XV</w:t>
            </w:r>
          </w:p>
        </w:tc>
        <w:tc>
          <w:tcPr>
            <w:tcW w:type="dxa" w:w="5600"/>
            <w:tcMar>
              <w:top w:type="dxa" w:w="60"/>
              <w:left w:type="dxa" w:w="90"/>
              <w:bottom w:type="dxa" w:w="60"/>
              <w:right w:type="dxa" w:w="90"/>
            </w:tcMar>
          </w:tcPr>
          <w:p>
            <w:r>
              <w:rPr>
                <w:b w:val="false"/>
                <w:bCs w:val="false"/>
                <w:sz w:val="17"/>
                <w:szCs w:val="17"/>
              </w:rPr>
              <w:t xml:space="preserve">El Art. 24 Bis RCG no fija una regla específica para esta fracción; se aplican los Arts. 5 y 24 del Reglamento. Criterio del Programa: la fecha en que se liquida la renta mensual que alcanza el umbral de Aviso. [VERIFICAR contra el formato oficial de Avisos.]</w:t>
            </w:r>
          </w:p>
        </w:tc>
      </w:tr>
    </w:tbl>
    <w:p>
      <w:pPr>
        <w:pStyle w:val="Heading2"/>
        <w:spacing w:after="120" w:before="320"/>
      </w:pPr>
      <w:r>
        <w:t xml:space="preserve">II. Libro de control mensual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shd w:fill="1F3864" w:val="clear"/>
            <w:tcMar>
              <w:top w:type="dxa" w:w="60"/>
              <w:left w:type="dxa" w:w="90"/>
              <w:bottom w:type="dxa" w:w="60"/>
              <w:right w:type="dxa" w:w="90"/>
            </w:tcMar>
          </w:tcPr>
          <w:p>
            <w:r>
              <w:rPr>
                <w:b/>
                <w:bCs/>
                <w:color w:val="FFFFFF"/>
                <w:sz w:val="17"/>
                <w:szCs w:val="17"/>
              </w:rPr>
              <w:t xml:space="preserve">Mes</w:t>
            </w:r>
          </w:p>
        </w:tc>
        <w:tc>
          <w:tcPr>
            <w:tcW w:type="dxa" w:w="1200"/>
            <w:shd w:fill="1F3864" w:val="clear"/>
            <w:tcMar>
              <w:top w:type="dxa" w:w="60"/>
              <w:left w:type="dxa" w:w="90"/>
              <w:bottom w:type="dxa" w:w="60"/>
              <w:right w:type="dxa" w:w="90"/>
            </w:tcMar>
          </w:tcPr>
          <w:p>
            <w:r>
              <w:rPr>
                <w:b/>
                <w:bCs/>
                <w:color w:val="FFFFFF"/>
                <w:sz w:val="17"/>
                <w:szCs w:val="17"/>
              </w:rPr>
              <w:t xml:space="preserve">No. operaciones</w:t>
            </w:r>
          </w:p>
        </w:tc>
        <w:tc>
          <w:tcPr>
            <w:tcW w:type="dxa" w:w="1700"/>
            <w:shd w:fill="1F3864" w:val="clear"/>
            <w:tcMar>
              <w:top w:type="dxa" w:w="60"/>
              <w:left w:type="dxa" w:w="90"/>
              <w:bottom w:type="dxa" w:w="60"/>
              <w:right w:type="dxa" w:w="90"/>
            </w:tcMar>
          </w:tcPr>
          <w:p>
            <w:r>
              <w:rPr>
                <w:b/>
                <w:bCs/>
                <w:color w:val="FFFFFF"/>
                <w:sz w:val="17"/>
                <w:szCs w:val="17"/>
              </w:rPr>
              <w:t xml:space="preserve">Tipo de Aviso</w:t>
            </w:r>
          </w:p>
        </w:tc>
        <w:tc>
          <w:tcPr>
            <w:tcW w:type="dxa" w:w="1400"/>
            <w:shd w:fill="1F3864" w:val="clear"/>
            <w:tcMar>
              <w:top w:type="dxa" w:w="60"/>
              <w:left w:type="dxa" w:w="90"/>
              <w:bottom w:type="dxa" w:w="60"/>
              <w:right w:type="dxa" w:w="90"/>
            </w:tcMar>
          </w:tcPr>
          <w:p>
            <w:r>
              <w:rPr>
                <w:b/>
                <w:bCs/>
                <w:color w:val="FFFFFF"/>
                <w:sz w:val="17"/>
                <w:szCs w:val="17"/>
              </w:rPr>
              <w:t xml:space="preserve">Fecha presentación</w:t>
            </w:r>
          </w:p>
        </w:tc>
        <w:tc>
          <w:tcPr>
            <w:tcW w:type="dxa" w:w="1400"/>
            <w:shd w:fill="1F3864" w:val="clear"/>
            <w:tcMar>
              <w:top w:type="dxa" w:w="60"/>
              <w:left w:type="dxa" w:w="90"/>
              <w:bottom w:type="dxa" w:w="60"/>
              <w:right w:type="dxa" w:w="90"/>
            </w:tcMar>
          </w:tcPr>
          <w:p>
            <w:r>
              <w:rPr>
                <w:b/>
                <w:bCs/>
                <w:color w:val="FFFFFF"/>
                <w:sz w:val="17"/>
                <w:szCs w:val="17"/>
              </w:rPr>
              <w:t xml:space="preserve">Folio SPPLD</w:t>
            </w:r>
          </w:p>
        </w:tc>
        <w:tc>
          <w:tcPr>
            <w:tcW w:type="dxa" w:w="1400"/>
            <w:shd w:fill="1F3864" w:val="clear"/>
            <w:tcMar>
              <w:top w:type="dxa" w:w="60"/>
              <w:left w:type="dxa" w:w="90"/>
              <w:bottom w:type="dxa" w:w="60"/>
              <w:right w:type="dxa" w:w="90"/>
            </w:tcMar>
          </w:tcPr>
          <w:p>
            <w:r>
              <w:rPr>
                <w:b/>
                <w:bCs/>
                <w:color w:val="FFFFFF"/>
                <w:sz w:val="17"/>
                <w:szCs w:val="17"/>
              </w:rPr>
              <w:t xml:space="preserve">Estado</w:t>
            </w:r>
          </w:p>
        </w:tc>
        <w:tc>
          <w:tcPr>
            <w:tcW w:type="dxa" w:w="1300"/>
            <w:shd w:fill="1F3864" w:val="clear"/>
            <w:tcMar>
              <w:top w:type="dxa" w:w="60"/>
              <w:left w:type="dxa" w:w="90"/>
              <w:bottom w:type="dxa" w:w="60"/>
              <w:right w:type="dxa" w:w="90"/>
            </w:tcMar>
          </w:tcPr>
          <w:p>
            <w:r>
              <w:rPr>
                <w:b/>
                <w:bCs/>
                <w:color w:val="FFFFFF"/>
                <w:sz w:val="17"/>
                <w:szCs w:val="17"/>
              </w:rPr>
              <w:t xml:space="preserve">Firma RC</w:t>
            </w:r>
          </w:p>
        </w:tc>
      </w:tr>
      <w:tr>
        <w:tc>
          <w:tcPr>
            <w:tcW w:type="dxa" w:w="1200"/>
            <w:tcMar>
              <w:top w:type="dxa" w:w="60"/>
              <w:left w:type="dxa" w:w="90"/>
              <w:bottom w:type="dxa" w:w="60"/>
              <w:right w:type="dxa" w:w="90"/>
            </w:tcMar>
          </w:tcPr>
          <w:p>
            <w:r>
              <w:rPr>
                <w:b w:val="false"/>
                <w:bCs w:val="false"/>
                <w:sz w:val="17"/>
                <w:szCs w:val="17"/>
              </w:rPr>
              <w:t xml:space="preserve">Enero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Febrero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Marzo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Abril</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Mayo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Junio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Julio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Agosto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Septiembre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Octubre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Noviembre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Diciembre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bl>
    <w:p>
      <w:pPr>
        <w:spacing w:after="80" w:before="160"/>
      </w:pPr>
      <w:r>
        <w:rPr>
          <w:b/>
          <w:bCs/>
          <w:color w:val="B08D57"/>
          <w:sz w:val="21"/>
          <w:szCs w:val="21"/>
        </w:rPr>
        <w:t xml:space="preserve">2.1 Aviso mensual consolidado para desarrollos inmobiliarios (Art. 24 Bis 1 RCG)</w:t>
      </w:r>
    </w:p>
    <w:p>
      <w:pPr>
        <w:spacing w:after="120"/>
      </w:pPr>
      <w:r>
        <w:rPr>
          <w:sz w:val="20"/>
          <w:szCs w:val="20"/>
        </w:rPr>
        <w:t xml:space="preserve">Para clientes que operen bajo la fracción V Bis, es posible presentar un solo Aviso mensual que consolide todas las aportaciones recibidas y aplicadas al mismo desarrollo durante el mes calendario, siempre que la fecha de envío no exceda el plazo máximo del Art. 23 de la Ley respecto de cada aportación recibida.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shd w:fill="1F3864" w:val="clear"/>
            <w:tcMar>
              <w:top w:type="dxa" w:w="60"/>
              <w:left w:type="dxa" w:w="90"/>
              <w:bottom w:type="dxa" w:w="60"/>
              <w:right w:type="dxa" w:w="90"/>
            </w:tcMar>
          </w:tcPr>
          <w:p>
            <w:r>
              <w:rPr>
                <w:b/>
                <w:bCs/>
                <w:color w:val="FFFFFF"/>
                <w:sz w:val="17"/>
                <w:szCs w:val="17"/>
              </w:rPr>
              <w:t xml:space="preserve">Desarrollo inmobiliario</w:t>
            </w:r>
          </w:p>
        </w:tc>
        <w:tc>
          <w:tcPr>
            <w:tcW w:type="dxa" w:w="1600"/>
            <w:shd w:fill="1F3864" w:val="clear"/>
            <w:tcMar>
              <w:top w:type="dxa" w:w="60"/>
              <w:left w:type="dxa" w:w="90"/>
              <w:bottom w:type="dxa" w:w="60"/>
              <w:right w:type="dxa" w:w="90"/>
            </w:tcMar>
          </w:tcPr>
          <w:p>
            <w:r>
              <w:rPr>
                <w:b/>
                <w:bCs/>
                <w:color w:val="FFFFFF"/>
                <w:sz w:val="17"/>
                <w:szCs w:val="17"/>
              </w:rPr>
              <w:t xml:space="preserve">Mes</w:t>
            </w:r>
          </w:p>
        </w:tc>
        <w:tc>
          <w:tcPr>
            <w:tcW w:type="dxa" w:w="1800"/>
            <w:shd w:fill="1F3864" w:val="clear"/>
            <w:tcMar>
              <w:top w:type="dxa" w:w="60"/>
              <w:left w:type="dxa" w:w="90"/>
              <w:bottom w:type="dxa" w:w="60"/>
              <w:right w:type="dxa" w:w="90"/>
            </w:tcMar>
          </w:tcPr>
          <w:p>
            <w:r>
              <w:rPr>
                <w:b/>
                <w:bCs/>
                <w:color w:val="FFFFFF"/>
                <w:sz w:val="17"/>
                <w:szCs w:val="17"/>
              </w:rPr>
              <w:t xml:space="preserve">Aportaciones incluidas</w:t>
            </w:r>
          </w:p>
        </w:tc>
        <w:tc>
          <w:tcPr>
            <w:tcW w:type="dxa" w:w="1800"/>
            <w:shd w:fill="1F3864" w:val="clear"/>
            <w:tcMar>
              <w:top w:type="dxa" w:w="60"/>
              <w:left w:type="dxa" w:w="90"/>
              <w:bottom w:type="dxa" w:w="60"/>
              <w:right w:type="dxa" w:w="90"/>
            </w:tcMar>
          </w:tcPr>
          <w:p>
            <w:r>
              <w:rPr>
                <w:b/>
                <w:bCs/>
                <w:color w:val="FFFFFF"/>
                <w:sz w:val="17"/>
                <w:szCs w:val="17"/>
              </w:rPr>
              <w:t xml:space="preserve">Monto consolidado</w:t>
            </w:r>
          </w:p>
        </w:tc>
        <w:tc>
          <w:tcPr>
            <w:tcW w:type="dxa" w:w="2000"/>
            <w:shd w:fill="1F3864" w:val="clear"/>
            <w:tcMar>
              <w:top w:type="dxa" w:w="60"/>
              <w:left w:type="dxa" w:w="90"/>
              <w:bottom w:type="dxa" w:w="60"/>
              <w:right w:type="dxa" w:w="90"/>
            </w:tcMar>
          </w:tcPr>
          <w:p>
            <w:r>
              <w:rPr>
                <w:b/>
                <w:bCs/>
                <w:color w:val="FFFFFF"/>
                <w:sz w:val="17"/>
                <w:szCs w:val="17"/>
              </w:rPr>
              <w:t xml:space="preserve">Folio SPPLD</w:t>
            </w:r>
          </w:p>
        </w:tc>
      </w:tr>
      <w:tr>
        <w:tc>
          <w:tcPr>
            <w:tcW w:type="dxa" w:w="2400"/>
            <w:tcMar>
              <w:top w:type="dxa" w:w="60"/>
              <w:left w:type="dxa" w:w="90"/>
              <w:bottom w:type="dxa" w:w="60"/>
              <w:right w:type="dxa" w:w="90"/>
            </w:tcMar>
          </w:tcPr>
          <w:p>
            <w:r>
              <w:rPr>
                <w:b w:val="false"/>
                <w:bCs w:val="false"/>
                <w:sz w:val="17"/>
                <w:szCs w:val="17"/>
              </w:rPr>
              <w:t xml:space="preserve">[Nombre del desarrollo]</w:t>
            </w:r>
          </w:p>
        </w:tc>
        <w:tc>
          <w:tcPr>
            <w:tcW w:type="dxa" w:w="1600"/>
            <w:tcMar>
              <w:top w:type="dxa" w:w="60"/>
              <w:left w:type="dxa" w:w="90"/>
              <w:bottom w:type="dxa" w:w="60"/>
              <w:right w:type="dxa" w:w="90"/>
            </w:tcMar>
          </w:tcPr>
          <w:p>
            <w:r>
              <w:rPr>
                <w:b w:val="false"/>
                <w:bCs w:val="false"/>
                <w:sz w:val="17"/>
                <w:szCs w:val="17"/>
              </w:rPr>
              <w:t xml:space="preserve">[Mes]</w:t>
            </w:r>
          </w:p>
        </w:tc>
        <w:tc>
          <w:tcPr>
            <w:tcW w:type="dxa" w:w="1800"/>
            <w:tcMar>
              <w:top w:type="dxa" w:w="60"/>
              <w:left w:type="dxa" w:w="90"/>
              <w:bottom w:type="dxa" w:w="60"/>
              <w:right w:type="dxa" w:w="90"/>
            </w:tcMar>
          </w:tcPr>
          <w:p>
            <w:r>
              <w:rPr>
                <w:b w:val="false"/>
                <w:bCs w:val="false"/>
                <w:sz w:val="17"/>
                <w:szCs w:val="17"/>
              </w:rPr>
              <w:t xml:space="preserve">[No. de aportaciones]</w:t>
            </w:r>
          </w:p>
        </w:tc>
        <w:tc>
          <w:tcPr>
            <w:tcW w:type="dxa" w:w="1800"/>
            <w:tcMar>
              <w:top w:type="dxa" w:w="60"/>
              <w:left w:type="dxa" w:w="90"/>
              <w:bottom w:type="dxa" w:w="60"/>
              <w:right w:type="dxa" w:w="90"/>
            </w:tcMar>
          </w:tcPr>
          <w:p>
            <w:r>
              <w:rPr>
                <w:b w:val="false"/>
                <w:bCs w:val="false"/>
                <w:sz w:val="17"/>
                <w:szCs w:val="17"/>
              </w:rPr>
              <w:t xml:space="preserve">$ [Monto total consolidado]</w:t>
            </w:r>
          </w:p>
        </w:tc>
        <w:tc>
          <w:tcPr>
            <w:tcW w:type="dxa" w:w="2000"/>
            <w:tcMar>
              <w:top w:type="dxa" w:w="60"/>
              <w:left w:type="dxa" w:w="90"/>
              <w:bottom w:type="dxa" w:w="60"/>
              <w:right w:type="dxa" w:w="90"/>
            </w:tcMar>
          </w:tcPr>
          <w:p>
            <w:r>
              <w:rPr>
                <w:b w:val="false"/>
                <w:bCs w:val="false"/>
                <w:sz w:val="17"/>
                <w:szCs w:val="17"/>
              </w:rPr>
              <w:t xml:space="preserve">[Folio]</w:t>
            </w:r>
          </w:p>
        </w:tc>
      </w:tr>
    </w:tbl>
    <w:p>
      <w:pPr>
        <w:pStyle w:val="Heading2"/>
        <w:spacing w:after="120" w:before="320"/>
      </w:pPr>
      <w:r>
        <w:t xml:space="preserve">III. Control de Avisos por sospecha o por indicios — plazo de 24 horas</w:t>
      </w:r>
    </w:p>
    <w:p>
      <w:pPr>
        <w:spacing w:after="120"/>
      </w:pPr>
      <w:r>
        <w:rPr>
          <w:sz w:val="20"/>
          <w:szCs w:val="20"/>
        </w:rPr>
        <w:t xml:space="preserve">Aplica a los Avisos por sospecha (Art. 26 Bis RCG) y por hechos o indicios (Art. 26 Bis 1 RCG), que deben enviarse dentro de las 24 horas siguientes a que se reconozca la conducta o el indicio — incluso si el acto no alcanza el umbral o no se ha consumado (Art. 26 Bis 2 RCG). Ver el detalle de cada caso en el Documento D9 — Reporte de Operación Inusual.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500"/>
            <w:shd w:fill="1F3864" w:val="clear"/>
            <w:tcMar>
              <w:top w:type="dxa" w:w="60"/>
              <w:left w:type="dxa" w:w="90"/>
              <w:bottom w:type="dxa" w:w="60"/>
              <w:right w:type="dxa" w:w="90"/>
            </w:tcMar>
          </w:tcPr>
          <w:p>
            <w:r>
              <w:rPr>
                <w:b/>
                <w:bCs/>
                <w:color w:val="FFFFFF"/>
                <w:sz w:val="17"/>
                <w:szCs w:val="17"/>
              </w:rPr>
              <w:t xml:space="preserve">No.</w:t>
            </w:r>
          </w:p>
        </w:tc>
        <w:tc>
          <w:tcPr>
            <w:tcW w:type="dxa" w:w="1600"/>
            <w:shd w:fill="1F3864" w:val="clear"/>
            <w:tcMar>
              <w:top w:type="dxa" w:w="60"/>
              <w:left w:type="dxa" w:w="90"/>
              <w:bottom w:type="dxa" w:w="60"/>
              <w:right w:type="dxa" w:w="90"/>
            </w:tcMar>
          </w:tcPr>
          <w:p>
            <w:r>
              <w:rPr>
                <w:b/>
                <w:bCs/>
                <w:color w:val="FFFFFF"/>
                <w:sz w:val="17"/>
                <w:szCs w:val="17"/>
              </w:rPr>
              <w:t xml:space="preserve">Cliente</w:t>
            </w:r>
          </w:p>
        </w:tc>
        <w:tc>
          <w:tcPr>
            <w:tcW w:type="dxa" w:w="1600"/>
            <w:shd w:fill="1F3864" w:val="clear"/>
            <w:tcMar>
              <w:top w:type="dxa" w:w="60"/>
              <w:left w:type="dxa" w:w="90"/>
              <w:bottom w:type="dxa" w:w="60"/>
              <w:right w:type="dxa" w:w="90"/>
            </w:tcMar>
          </w:tcPr>
          <w:p>
            <w:r>
              <w:rPr>
                <w:b/>
                <w:bCs/>
                <w:color w:val="FFFFFF"/>
                <w:sz w:val="17"/>
                <w:szCs w:val="17"/>
              </w:rPr>
              <w:t xml:space="preserve">Tipo de Aviso</w:t>
            </w:r>
          </w:p>
        </w:tc>
        <w:tc>
          <w:tcPr>
            <w:tcW w:type="dxa" w:w="1500"/>
            <w:shd w:fill="1F3864" w:val="clear"/>
            <w:tcMar>
              <w:top w:type="dxa" w:w="60"/>
              <w:left w:type="dxa" w:w="90"/>
              <w:bottom w:type="dxa" w:w="60"/>
              <w:right w:type="dxa" w:w="90"/>
            </w:tcMar>
          </w:tcPr>
          <w:p>
            <w:r>
              <w:rPr>
                <w:b/>
                <w:bCs/>
                <w:color w:val="FFFFFF"/>
                <w:sz w:val="17"/>
                <w:szCs w:val="17"/>
              </w:rPr>
              <w:t xml:space="preserve">Fecha/hora detección</w:t>
            </w:r>
          </w:p>
        </w:tc>
        <w:tc>
          <w:tcPr>
            <w:tcW w:type="dxa" w:w="1500"/>
            <w:shd w:fill="1F3864" w:val="clear"/>
            <w:tcMar>
              <w:top w:type="dxa" w:w="60"/>
              <w:left w:type="dxa" w:w="90"/>
              <w:bottom w:type="dxa" w:w="60"/>
              <w:right w:type="dxa" w:w="90"/>
            </w:tcMar>
          </w:tcPr>
          <w:p>
            <w:r>
              <w:rPr>
                <w:b/>
                <w:bCs/>
                <w:color w:val="FFFFFF"/>
                <w:sz w:val="17"/>
                <w:szCs w:val="17"/>
              </w:rPr>
              <w:t xml:space="preserve">Plazo límite (24 hrs.)</w:t>
            </w:r>
          </w:p>
        </w:tc>
        <w:tc>
          <w:tcPr>
            <w:tcW w:type="dxa" w:w="1500"/>
            <w:shd w:fill="1F3864" w:val="clear"/>
            <w:tcMar>
              <w:top w:type="dxa" w:w="60"/>
              <w:left w:type="dxa" w:w="90"/>
              <w:bottom w:type="dxa" w:w="60"/>
              <w:right w:type="dxa" w:w="90"/>
            </w:tcMar>
          </w:tcPr>
          <w:p>
            <w:r>
              <w:rPr>
                <w:b/>
                <w:bCs/>
                <w:color w:val="FFFFFF"/>
                <w:sz w:val="17"/>
                <w:szCs w:val="17"/>
              </w:rPr>
              <w:t xml:space="preserve">Fecha/hora presentado</w:t>
            </w:r>
          </w:p>
        </w:tc>
        <w:tc>
          <w:tcPr>
            <w:tcW w:type="dxa" w:w="1400"/>
            <w:shd w:fill="1F3864" w:val="clear"/>
            <w:tcMar>
              <w:top w:type="dxa" w:w="60"/>
              <w:left w:type="dxa" w:w="90"/>
              <w:bottom w:type="dxa" w:w="60"/>
              <w:right w:type="dxa" w:w="90"/>
            </w:tcMar>
          </w:tcPr>
          <w:p>
            <w:r>
              <w:rPr>
                <w:b/>
                <w:bCs/>
                <w:color w:val="FFFFFF"/>
                <w:sz w:val="17"/>
                <w:szCs w:val="17"/>
              </w:rPr>
              <w:t xml:space="preserve">¿Cumplido?</w:t>
            </w:r>
          </w:p>
        </w:tc>
      </w:tr>
      <w:tr>
        <w:tc>
          <w:tcPr>
            <w:tcW w:type="dxa" w:w="500"/>
            <w:tcMar>
              <w:top w:type="dxa" w:w="60"/>
              <w:left w:type="dxa" w:w="90"/>
              <w:bottom w:type="dxa" w:w="60"/>
              <w:right w:type="dxa" w:w="90"/>
            </w:tcMar>
          </w:tcPr>
          <w:p>
            <w:r>
              <w:rPr>
                <w:b w:val="false"/>
                <w:bCs w:val="false"/>
                <w:sz w:val="17"/>
                <w:szCs w:val="17"/>
              </w:rPr>
              <w:t xml:space="preserve">1</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r>
        <w:tc>
          <w:tcPr>
            <w:tcW w:type="dxa" w:w="500"/>
            <w:tcMar>
              <w:top w:type="dxa" w:w="60"/>
              <w:left w:type="dxa" w:w="90"/>
              <w:bottom w:type="dxa" w:w="60"/>
              <w:right w:type="dxa" w:w="90"/>
            </w:tcMar>
          </w:tcPr>
          <w:p>
            <w:r>
              <w:rPr>
                <w:b w:val="false"/>
                <w:bCs w:val="false"/>
                <w:sz w:val="17"/>
                <w:szCs w:val="17"/>
              </w:rPr>
              <w:t xml:space="preserve">2</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r>
        <w:tc>
          <w:tcPr>
            <w:tcW w:type="dxa" w:w="500"/>
            <w:tcMar>
              <w:top w:type="dxa" w:w="60"/>
              <w:left w:type="dxa" w:w="90"/>
              <w:bottom w:type="dxa" w:w="60"/>
              <w:right w:type="dxa" w:w="90"/>
            </w:tcMar>
          </w:tcPr>
          <w:p>
            <w:r>
              <w:rPr>
                <w:b w:val="false"/>
                <w:bCs w:val="false"/>
                <w:sz w:val="17"/>
                <w:szCs w:val="17"/>
              </w:rPr>
              <w:t xml:space="preserve">3</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bl>
    <w:p>
      <w:pPr>
        <w:pStyle w:val="Heading2"/>
        <w:spacing w:after="120" w:before="320"/>
      </w:pPr>
      <w:r>
        <w:t xml:space="preserve">IV. Instrucciones de presentación de Avisos</w:t>
      </w:r>
    </w:p>
    <w:p>
      <w:pPr>
        <w:pStyle w:val="ListParagraph"/>
        <w:numPr>
          <w:ilvl w:val="0"/>
          <w:numId w:val="1"/>
        </w:numPr>
        <w:spacing w:after="60"/>
      </w:pPr>
      <w:r>
        <w:rPr>
          <w:sz w:val="20"/>
          <w:szCs w:val="20"/>
        </w:rPr>
        <w:t xml:space="preserve">Acceder al Portal en Internet del SAT: https://ppld.sat.gob.mx con la Firma Electrónica Avanzada.</w:t>
      </w:r>
    </w:p>
    <w:p>
      <w:pPr>
        <w:pStyle w:val="ListParagraph"/>
        <w:numPr>
          <w:ilvl w:val="0"/>
          <w:numId w:val="1"/>
        </w:numPr>
        <w:spacing w:after="60"/>
      </w:pPr>
      <w:r>
        <w:rPr>
          <w:sz w:val="20"/>
          <w:szCs w:val="20"/>
        </w:rPr>
        <w:t xml:space="preserve">Seleccionar "Nuevo Aviso" y elegir el tipo: Aviso de Operación / Informe en ceros / Aviso por sospecha / Aviso por hechos o indicios.</w:t>
      </w:r>
    </w:p>
    <w:p>
      <w:pPr>
        <w:pStyle w:val="ListParagraph"/>
        <w:numPr>
          <w:ilvl w:val="0"/>
          <w:numId w:val="1"/>
        </w:numPr>
        <w:spacing w:after="60"/>
      </w:pPr>
      <w:r>
        <w:rPr>
          <w:sz w:val="20"/>
          <w:szCs w:val="20"/>
        </w:rPr>
        <w:t xml:space="preserve">Capturar los datos del cliente y de la operación conforme al expediente KYC (D7).</w:t>
      </w:r>
    </w:p>
    <w:p>
      <w:pPr>
        <w:pStyle w:val="ListParagraph"/>
        <w:numPr>
          <w:ilvl w:val="0"/>
          <w:numId w:val="1"/>
        </w:numPr>
        <w:spacing w:after="60"/>
      </w:pPr>
      <w:r>
        <w:rPr>
          <w:sz w:val="20"/>
          <w:szCs w:val="20"/>
        </w:rPr>
        <w:t xml:space="preserve">Para desarrollos inmobiliarios, verificar si corresponde presentar el Aviso mensual consolidado (Sección 2.1) o Avisos individuales.</w:t>
      </w:r>
    </w:p>
    <w:p>
      <w:pPr>
        <w:pStyle w:val="ListParagraph"/>
        <w:numPr>
          <w:ilvl w:val="0"/>
          <w:numId w:val="1"/>
        </w:numPr>
        <w:spacing w:after="60"/>
      </w:pPr>
      <w:r>
        <w:rPr>
          <w:sz w:val="20"/>
          <w:szCs w:val="20"/>
        </w:rPr>
        <w:t xml:space="preserve">Obtener y conservar el acuse de presentación con folio asignado.</w:t>
      </w:r>
    </w:p>
    <w:p>
      <w:pPr>
        <w:pStyle w:val="ListParagraph"/>
        <w:numPr>
          <w:ilvl w:val="0"/>
          <w:numId w:val="1"/>
        </w:numPr>
        <w:spacing w:after="60"/>
      </w:pPr>
      <w:r>
        <w:rPr>
          <w:sz w:val="20"/>
          <w:szCs w:val="20"/>
        </w:rPr>
        <w:t xml:space="preserve">Registrar el folio en este libro de control con firma del Representante de Cumplimiento.</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tcMar>
              <w:top w:type="dxa" w:w="60"/>
              <w:left w:type="dxa" w:w="90"/>
              <w:bottom w:type="dxa" w:w="60"/>
              <w:right w:type="dxa" w:w="90"/>
            </w:tcMar>
          </w:tcPr>
          <w:p>
            <w:r>
              <w:rPr>
                <w:b w:val="false"/>
                <w:bCs w:val="false"/>
                <w:sz w:val="18"/>
                <w:szCs w:val="18"/>
              </w:rPr>
              <w:t xml:space="preserve">Soporte técnico Certus PLD disponible para dudas sobre el proceso de Aviso: contacto@certusconsultores.com.mx │ 999 163 1363</w:t>
            </w:r>
          </w:p>
        </w:tc>
      </w:tr>
    </w:tbl>
    <w:p>
      <w:pPr>
        <w:spacing w:before="300"/>
      </w:pPr>
      <w:r>
        <w:rPr>
          <w:color w:val="888888"/>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2026-08-11T14:28:02.535Z</dcterms:created>
  <dcterms:modified xsi:type="dcterms:W3CDTF">2026-08-11T14:28:02.536Z</dcterms:modified>
</cp:coreProperties>
</file>

<file path=docProps/custom.xml><?xml version="1.0" encoding="utf-8"?>
<Properties xmlns="http://schemas.openxmlformats.org/officeDocument/2006/custom-properties" xmlns:vt="http://schemas.openxmlformats.org/officeDocument/2006/docPropsVTypes"/>
</file>