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D13 </w:t>
            </w:r>
            <w:r>
              <w:rPr>
                <w:rFonts w:ascii="Calibri" w:cs="Calibri" w:eastAsia="Calibri" w:hAnsi="Calibri"/>
                <w:b/>
                <w:bCs/>
                <w:color w:val="FFFFFF"/>
                <w:sz w:val="22"/>
                <w:szCs w:val="22"/>
              </w:rPr>
              <w:t xml:space="preserve">Informe de Auditoría Interna Certus PLD</w:t>
            </w:r>
          </w:p>
          <w:p>
            <w:pPr>
              <w:spacing w:before="40"/>
            </w:pPr>
            <w:r>
              <w:rPr>
                <w:rFonts w:ascii="Calibri" w:cs="Calibri" w:eastAsia="Calibri" w:hAnsi="Calibri"/>
                <w:color w:val="D9D9D9"/>
                <w:sz w:val="18"/>
                <w:szCs w:val="18"/>
              </w:rPr>
              <w:t xml:space="preserve">Empresa: [Empresa]   │   Programa Certus PLD — Inmobiliarias (Fracc. V, V Bis, XV)</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Empresa: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[Empresa]</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Periodo auditado: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[Mes/Año] al [Mes/Año]</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Persona o área auditora: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[Área de auditoría interna independiente del Representante de Cumplimiento / Persona auditora externa independiente]</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Persona auditora externa independiente (si aplica):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[Nombre y acreditación: título y cédula, al menos 3 años de experiencia, certificación UIF vigente — Art. 45 RCG]</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Consultor del programa (no auditor):</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CERTUS CONSULTORES │ contacto@certusconsultores.com.mx │ 999 163 1363</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Fecha del informe:</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Tipo de auditoría: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 Programada    [ ] Especial    [ ] Por requerimiento de autoridad</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Versión:</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1.2 — fundamento Art. 18, fr. XI; independencia del auditor (Arts. 44-45 RCG)</w:t>
            </w:r>
          </w:p>
        </w:tc>
      </w:tr>
    </w:tbl>
    <w:p/>
    <w:p>
      <w:pPr>
        <w:pBdr>
          <w:bottom w:val="single" w:color="B08D57" w:sz="6" w:space="2"/>
        </w:pBdr>
        <w:spacing w:after="120" w:before="240"/>
      </w:pPr>
      <w:r>
        <w:rPr>
          <w:rFonts w:ascii="Calibri" w:cs="Calibri" w:eastAsia="Calibri" w:hAnsi="Calibri"/>
          <w:b/>
          <w:bCs/>
          <w:color w:val="1F3864"/>
          <w:sz w:val="23"/>
          <w:szCs w:val="23"/>
        </w:rPr>
        <w:t xml:space="preserve">I. Objetivo y Alcance</w:t>
      </w:r>
    </w:p>
    <w:p>
      <w:pPr>
        <w:spacing w:after="110"/>
      </w:pPr>
      <w:r>
        <w:rPr>
          <w:rFonts w:ascii="Calibri" w:cs="Calibri" w:eastAsia="Calibri" w:hAnsi="Calibri"/>
          <w:sz w:val="20"/>
          <w:szCs w:val="20"/>
        </w:rPr>
        <w:t xml:space="preserve">El presente informe documenta los resultados de la auditoría practicada al Programa Certus PLD de la empresa, conforme al artículo 18, fracción XI, de la LFPIORPI y a los artículos 42 a 51 de las RCG. La auditoría es anual, del 1 de enero al 31 de diciembre (primer periodo: 2028), y evalúa y dictamina la efectividad del cumplimiento de la Ley, su Reglamento y las RCG. Si el Riesgo de la empresa es bajo o medio, puede realizarla un área de auditoría interna independiente del Representante de Cumplimiento (Art. 44) o una persona auditora externa independiente; si es alto, o si así se elige, una persona auditora externa independiente que cumpla el Art. 45 — incluido no haber prestado servicios a la empresa que generen conflicto de interés durante el periodo auditado. El dictamen se entrega a más tardar el último día hábil de marzo, se presenta al órgano de administración, califica cada obligación como Cumple, Cumple mayoritariamente, Cumple parcialmente, No cumple o No aplica (Art. 48) e incluye la proyección de multas de los hallazgos no atendidos (Art. 49). Cuando este formato se use para la revisión de cierre de la implementación del Programa, se trata de un servicio contractual de verificación y no del dictamen del Art. 42.</w:t>
      </w:r>
    </w:p>
    <w:p>
      <w:pPr>
        <w:pBdr>
          <w:bottom w:val="single" w:color="B08D57" w:sz="6" w:space="2"/>
        </w:pBdr>
        <w:spacing w:after="120" w:before="240"/>
      </w:pPr>
      <w:r>
        <w:rPr>
          <w:rFonts w:ascii="Calibri" w:cs="Calibri" w:eastAsia="Calibri" w:hAnsi="Calibri"/>
          <w:b/>
          <w:bCs/>
          <w:color w:val="1F3864"/>
          <w:sz w:val="23"/>
          <w:szCs w:val="23"/>
        </w:rPr>
        <w:t xml:space="preserve">II. Metodología de Auditoría</w:t>
      </w:r>
    </w:p>
    <w:p>
      <w:pPr>
        <w:pStyle w:val="ListParagraph"/>
        <w:numPr>
          <w:ilvl w:val="0"/>
          <w:numId w:val="1"/>
        </w:numPr>
        <w:spacing w:after="50"/>
      </w:pPr>
      <w:r>
        <w:rPr>
          <w:rFonts w:ascii="Calibri" w:cs="Calibri" w:eastAsia="Calibri" w:hAnsi="Calibri"/>
          <w:sz w:val="20"/>
          <w:szCs w:val="20"/>
        </w:rPr>
        <w:t xml:space="preserve">Cuestionario inicial de conocimiento de la empresa y análisis de su Riesgo (Art. 47 RCG); revisión documental de expedientes KYC del periodo, con criterios de muestreo documentados</w:t>
      </w:r>
    </w:p>
    <w:p>
      <w:pPr>
        <w:pStyle w:val="ListParagraph"/>
        <w:numPr>
          <w:ilvl w:val="0"/>
          <w:numId w:val="1"/>
        </w:numPr>
        <w:spacing w:after="50"/>
      </w:pPr>
      <w:r>
        <w:rPr>
          <w:rFonts w:ascii="Calibri" w:cs="Calibri" w:eastAsia="Calibri" w:hAnsi="Calibri"/>
          <w:sz w:val="20"/>
          <w:szCs w:val="20"/>
        </w:rPr>
        <w:t xml:space="preserve">Verificación de la presentación oportuna de avisos mensuales al SAT</w:t>
      </w:r>
    </w:p>
    <w:p>
      <w:pPr>
        <w:pStyle w:val="ListParagraph"/>
        <w:numPr>
          <w:ilvl w:val="0"/>
          <w:numId w:val="1"/>
        </w:numPr>
        <w:spacing w:after="50"/>
      </w:pPr>
      <w:r>
        <w:rPr>
          <w:rFonts w:ascii="Calibri" w:cs="Calibri" w:eastAsia="Calibri" w:hAnsi="Calibri"/>
          <w:sz w:val="20"/>
          <w:szCs w:val="20"/>
        </w:rPr>
        <w:t xml:space="preserve">Revisión de la lista de asistencia a capacitaciones Certus PLD</w:t>
      </w:r>
    </w:p>
    <w:p>
      <w:pPr>
        <w:pStyle w:val="ListParagraph"/>
        <w:numPr>
          <w:ilvl w:val="0"/>
          <w:numId w:val="1"/>
        </w:numPr>
        <w:spacing w:after="50"/>
      </w:pPr>
      <w:r>
        <w:rPr>
          <w:rFonts w:ascii="Calibri" w:cs="Calibri" w:eastAsia="Calibri" w:hAnsi="Calibri"/>
          <w:sz w:val="20"/>
          <w:szCs w:val="20"/>
        </w:rPr>
        <w:t xml:space="preserve">Verificación del sistema de resguardo documental</w:t>
      </w:r>
    </w:p>
    <w:p>
      <w:pPr>
        <w:pStyle w:val="ListParagraph"/>
        <w:numPr>
          <w:ilvl w:val="0"/>
          <w:numId w:val="1"/>
        </w:numPr>
        <w:spacing w:after="50"/>
      </w:pPr>
      <w:r>
        <w:rPr>
          <w:rFonts w:ascii="Calibri" w:cs="Calibri" w:eastAsia="Calibri" w:hAnsi="Calibri"/>
          <w:sz w:val="20"/>
          <w:szCs w:val="20"/>
        </w:rPr>
        <w:t xml:space="preserve">Entrevistas al Representante de Cumplimiento y al personal clave — ninguno de ellos puede actuar como auditor del programa (Art. 44 RCG)</w:t>
      </w:r>
    </w:p>
    <w:p>
      <w:pPr>
        <w:pStyle w:val="ListParagraph"/>
        <w:numPr>
          <w:ilvl w:val="0"/>
          <w:numId w:val="1"/>
        </w:numPr>
        <w:spacing w:after="50"/>
      </w:pPr>
      <w:r>
        <w:rPr>
          <w:rFonts w:ascii="Calibri" w:cs="Calibri" w:eastAsia="Calibri" w:hAnsi="Calibri"/>
          <w:sz w:val="20"/>
          <w:szCs w:val="20"/>
        </w:rPr>
        <w:t xml:space="preserve">Revisión de reportes de operaciones inusuales del periodo</w:t>
      </w:r>
    </w:p>
    <w:p>
      <w:pPr>
        <w:pBdr>
          <w:bottom w:val="single" w:color="B08D57" w:sz="6" w:space="2"/>
        </w:pBdr>
        <w:spacing w:after="120" w:before="240"/>
      </w:pPr>
      <w:r>
        <w:rPr>
          <w:rFonts w:ascii="Calibri" w:cs="Calibri" w:eastAsia="Calibri" w:hAnsi="Calibri"/>
          <w:b/>
          <w:bCs/>
          <w:color w:val="1F3864"/>
          <w:sz w:val="23"/>
          <w:szCs w:val="23"/>
        </w:rPr>
        <w:t xml:space="preserve">III. Hallazgos por Módulo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
        <w:gridCol w:w="2300"/>
        <w:gridCol w:w="2900"/>
        <w:gridCol w:w="950"/>
        <w:gridCol w:w="1550"/>
        <w:gridCol w:w="1300"/>
      </w:tblGrid>
      <w:tr>
        <w:trPr>
          <w:tblHeader/>
        </w:trPr>
        <w:tc>
          <w:tcPr>
            <w:tcW w:type="dxa" w:w="3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No.</w:t>
            </w:r>
          </w:p>
        </w:tc>
        <w:tc>
          <w:tcPr>
            <w:tcW w:type="dxa" w:w="23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Módulo evaluado</w:t>
            </w:r>
          </w:p>
        </w:tc>
        <w:tc>
          <w:tcPr>
            <w:tcW w:type="dxa" w:w="29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Hallazgo / Observación</w:t>
            </w:r>
          </w:p>
        </w:tc>
        <w:tc>
          <w:tcPr>
            <w:tcW w:type="dxa" w:w="9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Semáforo</w:t>
            </w:r>
          </w:p>
        </w:tc>
        <w:tc>
          <w:tcPr>
            <w:tcW w:type="dxa" w:w="15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Riesgo</w:t>
            </w:r>
          </w:p>
        </w:tc>
        <w:tc>
          <w:tcPr>
            <w:tcW w:type="dxa" w:w="13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Acción correctiva</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w:t>
            </w:r>
          </w:p>
        </w:tc>
        <w:tc>
          <w:tcPr>
            <w:tcW w:type="dxa" w:w="2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Registro SAT (SPPLD)</w:t>
            </w:r>
          </w:p>
        </w:tc>
        <w:tc>
          <w:tcPr>
            <w:tcW w:type="dxa" w:w="29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2</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Expedientes KYC</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3</w:t>
            </w:r>
          </w:p>
        </w:tc>
        <w:tc>
          <w:tcPr>
            <w:tcW w:type="dxa" w:w="2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Evaluaciones EBR</w:t>
            </w:r>
          </w:p>
        </w:tc>
        <w:tc>
          <w:tcPr>
            <w:tcW w:type="dxa" w:w="29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4</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Política de PEP's</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5</w:t>
            </w:r>
          </w:p>
        </w:tc>
        <w:tc>
          <w:tcPr>
            <w:tcW w:type="dxa" w:w="2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Avisos mensuales SAT</w:t>
            </w:r>
          </w:p>
        </w:tc>
        <w:tc>
          <w:tcPr>
            <w:tcW w:type="dxa" w:w="29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6</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Reportes op. inusuales</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7</w:t>
            </w:r>
          </w:p>
        </w:tc>
        <w:tc>
          <w:tcPr>
            <w:tcW w:type="dxa" w:w="2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Resguardo documental</w:t>
            </w:r>
          </w:p>
        </w:tc>
        <w:tc>
          <w:tcPr>
            <w:tcW w:type="dxa" w:w="29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8</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Programa de capacitación</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9</w:t>
            </w:r>
          </w:p>
        </w:tc>
        <w:tc>
          <w:tcPr>
            <w:tcW w:type="dxa" w:w="2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Restricción de efectivo</w:t>
            </w:r>
          </w:p>
        </w:tc>
        <w:tc>
          <w:tcPr>
            <w:tcW w:type="dxa" w:w="29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10</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Manual de Cumplimiento</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11</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Grado de Riesgo y Beneficiario Controlador (D6, D7, D14)</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12</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Perfil transaccional, alertas y acumulación (Art. 19 RCG)</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13</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Selección de personal (D11D)</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14</w:t>
            </w:r>
          </w:p>
        </w:tc>
        <w:tc>
          <w:tcPr>
            <w:tcW w:type="dxa" w:w="2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Mecanismos automatizados (Art. 41 RCG)</w:t>
            </w:r>
          </w:p>
        </w:tc>
        <w:tc>
          <w:tcPr>
            <w:tcW w:type="dxa" w:w="29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13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bl>
    <w:p>
      <w:pPr>
        <w:pBdr>
          <w:bottom w:val="single" w:color="B08D57" w:sz="6" w:space="2"/>
        </w:pBdr>
        <w:spacing w:after="120" w:before="240"/>
      </w:pPr>
      <w:r>
        <w:rPr>
          <w:rFonts w:ascii="Calibri" w:cs="Calibri" w:eastAsia="Calibri" w:hAnsi="Calibri"/>
          <w:b/>
          <w:bCs/>
          <w:color w:val="1F3864"/>
          <w:sz w:val="23"/>
          <w:szCs w:val="23"/>
        </w:rPr>
        <w:t xml:space="preserve">IV. Resumen Ejecutivo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Total de módulos auditados:</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14</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en cumplimiento (VERDE):</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con observaciones (AMARILLO):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con incumplimiento (ROJO):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Calificación global del programa: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 SATISFACTORIO   [ ] CON OBSERVACIONES   [ ] INSATISFACTORIO</w:t>
            </w:r>
          </w:p>
        </w:tc>
      </w:tr>
    </w:tbl>
    <w:p>
      <w:pPr>
        <w:pBdr>
          <w:bottom w:val="single" w:color="B08D57" w:sz="6" w:space="2"/>
        </w:pBdr>
        <w:spacing w:after="120" w:before="240"/>
      </w:pPr>
      <w:r>
        <w:rPr>
          <w:rFonts w:ascii="Calibri" w:cs="Calibri" w:eastAsia="Calibri" w:hAnsi="Calibri"/>
          <w:b/>
          <w:bCs/>
          <w:color w:val="1F3864"/>
          <w:sz w:val="23"/>
          <w:szCs w:val="23"/>
        </w:rPr>
        <w:t xml:space="preserve">V. Plan de Remediación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600"/>
        <w:gridCol w:w="1500"/>
        <w:gridCol w:w="1400"/>
        <w:gridCol w:w="1250"/>
      </w:tblGrid>
      <w:tr>
        <w:trPr>
          <w:tblHeader/>
        </w:trPr>
        <w:tc>
          <w:tcPr>
            <w:tcW w:type="dxa" w:w="5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No.</w:t>
            </w:r>
          </w:p>
        </w:tc>
        <w:tc>
          <w:tcPr>
            <w:tcW w:type="dxa" w:w="21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Hallazgo</w:t>
            </w:r>
          </w:p>
        </w:tc>
        <w:tc>
          <w:tcPr>
            <w:tcW w:type="dxa" w:w="26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Acción correctiva</w:t>
            </w:r>
          </w:p>
        </w:tc>
        <w:tc>
          <w:tcPr>
            <w:tcW w:type="dxa" w:w="15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Responsable</w:t>
            </w:r>
          </w:p>
        </w:tc>
        <w:tc>
          <w:tcPr>
            <w:tcW w:type="dxa" w:w="14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Fecha compromiso</w:t>
            </w:r>
          </w:p>
        </w:tc>
        <w:tc>
          <w:tcPr>
            <w:tcW w:type="dxa" w:w="12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Estado</w:t>
            </w:r>
          </w:p>
        </w:tc>
      </w:tr>
      <w:tr>
        <w:tc>
          <w:tcPr>
            <w:tcW w:type="dxa" w:w="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w:t>
            </w:r>
          </w:p>
        </w:tc>
        <w:tc>
          <w:tcPr>
            <w:tcW w:type="dxa" w:w="21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1]</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[Responsable]</w:t>
            </w:r>
          </w:p>
        </w:tc>
        <w:tc>
          <w:tcPr>
            <w:tcW w:type="dxa" w:w="14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r>
        <w:tc>
          <w:tcPr>
            <w:tcW w:type="dxa" w:w="5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2</w:t>
            </w:r>
          </w:p>
        </w:tc>
        <w:tc>
          <w:tcPr>
            <w:tcW w:type="dxa" w:w="21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2]</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[Responsable]</w:t>
            </w:r>
          </w:p>
        </w:tc>
        <w:tc>
          <w:tcPr>
            <w:tcW w:type="dxa" w:w="14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r>
        <w:tc>
          <w:tcPr>
            <w:tcW w:type="dxa" w:w="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3</w:t>
            </w:r>
          </w:p>
        </w:tc>
        <w:tc>
          <w:tcPr>
            <w:tcW w:type="dxa" w:w="21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3]</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[Responsable]</w:t>
            </w:r>
          </w:p>
        </w:tc>
        <w:tc>
          <w:tcPr>
            <w:tcW w:type="dxa" w:w="14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bl>
    <w:p>
      <w:pPr>
        <w:pBdr>
          <w:bottom w:val="single" w:color="B08D57" w:sz="6" w:space="2"/>
        </w:pBdr>
        <w:spacing w:after="120" w:before="240"/>
      </w:pPr>
      <w:r>
        <w:rPr>
          <w:rFonts w:ascii="Calibri" w:cs="Calibri" w:eastAsia="Calibri" w:hAnsi="Calibri"/>
          <w:b/>
          <w:bCs/>
          <w:color w:val="1F3864"/>
          <w:sz w:val="23"/>
          <w:szCs w:val="23"/>
        </w:rPr>
        <w:t xml:space="preserve">VI. Conclusión</w:t>
      </w:r>
    </w:p>
    <w:p>
      <w:pPr>
        <w:spacing w:after="110"/>
      </w:pPr>
      <w:r>
        <w:rPr>
          <w:rFonts w:ascii="Calibri" w:cs="Calibri" w:eastAsia="Calibri" w:hAnsi="Calibri"/>
          <w:sz w:val="20"/>
          <w:szCs w:val="20"/>
        </w:rPr>
        <w:t xml:space="preserve">[Redactar la conclusión general del estado del Programa Certus PLD al cierre del periodo auditado, incluyendo una opinión sobre la efectividad del programa y las recomendaciones prioritarias para el siguiente ciclo.]</w:t>
      </w:r>
    </w:p>
    <w:p>
      <w:pPr>
        <w:pBdr>
          <w:bottom w:val="single" w:color="B08D57" w:sz="6" w:space="2"/>
        </w:pBdr>
        <w:spacing w:after="120" w:before="240"/>
      </w:pPr>
      <w:r>
        <w:rPr>
          <w:rFonts w:ascii="Calibri" w:cs="Calibri" w:eastAsia="Calibri" w:hAnsi="Calibri"/>
          <w:b/>
          <w:bCs/>
          <w:color w:val="1F3864"/>
          <w:sz w:val="23"/>
          <w:szCs w:val="23"/>
        </w:rPr>
        <w:t xml:space="preserve">VII. Firmas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Persona o área auditora (elaboró):</w:t>
            </w:r>
          </w:p>
        </w:tc>
        <w:tc>
          <w:tcPr>
            <w:tcW w:type="dxa" w:w="6150"/>
            <w:tcMar>
              <w:top w:type="dxa" w:w="55"/>
              <w:left w:type="dxa" w:w="80"/>
              <w:bottom w:type="dxa" w:w="55"/>
              <w:right w:type="dxa" w:w="80"/>
            </w:tcMar>
            <w:vAlign w:val="center"/>
          </w:tcP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Órgano de Administración (recibió y tomó nota):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Persona auditora externa independiente (si aplica):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[Nombre]</w:t>
            </w:r>
          </w:p>
        </w:tc>
      </w:tr>
    </w:tbl>
    <w:p>
      <w:pPr>
        <w:spacing w:after="110"/>
      </w:pPr>
      <w:r>
        <w:rPr>
          <w:rFonts w:ascii="Calibri" w:cs="Calibri" w:eastAsia="Calibri" w:hAnsi="Calibri"/>
          <w:i/>
          <w:iCs/>
          <w:sz w:val="20"/>
          <w:szCs w:val="20"/>
        </w:rPr>
        <w:t xml:space="preserve">Próxima auditoría programada: [Fecha]</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2026-09-09T02:15:28.386Z</dcterms:created>
  <dcterms:modified xsi:type="dcterms:W3CDTF">2026-09-09T02:15:28.386Z</dcterms:modified>
</cp:coreProperties>
</file>

<file path=docProps/custom.xml><?xml version="1.0" encoding="utf-8"?>
<Properties xmlns="http://schemas.openxmlformats.org/officeDocument/2006/custom-properties" xmlns:vt="http://schemas.openxmlformats.org/officeDocument/2006/docPropsVTypes"/>
</file>