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CERTUS PLD  |  D4 — Gap Analysis PLD/FT — Matriz de Brecha</w:t>
            </w:r>
          </w:p>
        </w:tc>
      </w:tr>
    </w:tbl>
    <w:p>
      <w:pPr>
        <w:spacing w:after="12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Empresa:</w:t>
            </w:r>
          </w:p>
        </w:tc>
        <w:tc>
          <w:tcPr>
            <w:tcW w:type="dxa" w:w="6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[EMPRESA]</w:t>
            </w:r>
          </w:p>
        </w:tc>
      </w:tr>
      <w:t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Fecha de diagnóstico:</w:t>
            </w:r>
          </w:p>
        </w:tc>
        <w:tc>
          <w:tcPr>
            <w:tcW w:type="dxa" w:w="6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[Fecha]</w:t>
            </w:r>
          </w:p>
        </w:tc>
      </w:tr>
      <w:t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Evaluador:</w:t>
            </w:r>
          </w:p>
        </w:tc>
        <w:tc>
          <w:tcPr>
            <w:tcW w:type="dxa" w:w="6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Certus Consultores │ Certus PLD</w:t>
            </w:r>
          </w:p>
        </w:tc>
      </w:tr>
      <w:t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Correo:</w:t>
            </w:r>
          </w:p>
        </w:tc>
        <w:tc>
          <w:tcPr>
            <w:tcW w:type="dxa" w:w="6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contacto@certusconsultores.com.mx │ Tel. 999 163 1363</w:t>
            </w:r>
          </w:p>
        </w:tc>
      </w:tr>
      <w:t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Versión:</w:t>
            </w:r>
          </w:p>
        </w:tc>
        <w:tc>
          <w:tcPr>
            <w:tcW w:type="dxa" w:w="6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2.0 — Actualizada conforme al Acuerdo 115/2026 (DOF 07/08/2026)</w:t>
            </w:r>
          </w:p>
        </w:tc>
      </w:tr>
    </w:tbl>
    <w:p>
      <w:pPr>
        <w:spacing w:after="200"/>
      </w:pPr>
    </w:p>
    <w:p>
      <w:pPr>
        <w:shd w:fill="FFF2CC" w:val="clear"/>
        <w:spacing w:after="240"/>
      </w:pPr>
      <w:r>
        <w:rPr>
          <w:b/>
          <w:bCs/>
          <w:sz w:val="19"/>
          <w:szCs w:val="19"/>
        </w:rPr>
        <w:t xml:space="preserve">Nota de actualización regulatoria: </w:t>
      </w:r>
      <w:r>
        <w:rPr>
          <w:i/>
          <w:iCs/>
          <w:sz w:val="19"/>
          <w:szCs w:val="19"/>
        </w:rPr>
        <w:t xml:space="preserve">esta versión amplía la matriz de 12 a 20 rubros para incorporar las obligaciones creadas por el Acuerdo 115/2026 (DOF 07/08/2026): clasificación del Grado de Riesgo, Beneficiario Controlador, Perfil Transaccional, seguimiento y acumulación de operaciones, selección de personal, mecanismos automatizados, listas de autoridades y confidencialidad. La auditoría (rubro 17) deja de ser una recomendación y se convierte en obligación legal exigible desde el ejercicio 2028.</w:t>
      </w:r>
    </w:p>
    <w:p>
      <w:pPr>
        <w:pStyle w:val="Heading2"/>
        <w:spacing w:after="120" w:before="320"/>
      </w:pPr>
      <w:r>
        <w:t xml:space="preserve">I. Instrucciones de uso</w:t>
      </w:r>
    </w:p>
    <w:p>
      <w:pPr>
        <w:spacing w:after="120"/>
      </w:pPr>
      <w:r>
        <w:rPr>
          <w:sz w:val="20"/>
          <w:szCs w:val="20"/>
        </w:rPr>
        <w:t xml:space="preserve">Esta matriz evalúa 20 rubros de cumplimiento PLD/FT. Para cada rubro se indica: el estatus actual (Cumple / Parcial / No Cumple), el nivel de Riesgo (VERDE / AMARILLO / ROJO), la multa máxima estimada y las acciones correctivas recomendadas. Marcar con X el estatus correspondiente. Los rubros marcados con (*) son de nueva incorporación conforme al Acuerdo 115/2026.</w:t>
      </w:r>
    </w:p>
    <w:p>
      <w:pPr>
        <w:pStyle w:val="Heading2"/>
        <w:spacing w:after="120" w:before="320"/>
      </w:pPr>
      <w:r>
        <w:t xml:space="preserve">II. Matriz de brecha — 20 rubros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7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No.</w:t>
            </w:r>
          </w:p>
        </w:tc>
        <w:tc>
          <w:tcPr>
            <w:tcW w:type="dxa" w:w="34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Rubro de cumplimiento</w:t>
            </w:r>
          </w:p>
        </w:tc>
        <w:tc>
          <w:tcPr>
            <w:tcW w:type="dxa" w:w="19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Ref. legal</w:t>
            </w:r>
          </w:p>
        </w:tc>
        <w:tc>
          <w:tcPr>
            <w:tcW w:type="dxa" w:w="13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Estatus</w:t>
            </w:r>
          </w:p>
        </w:tc>
        <w:tc>
          <w:tcPr>
            <w:tcW w:type="dxa" w:w="12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Semáf.</w:t>
            </w:r>
          </w:p>
        </w:tc>
        <w:tc>
          <w:tcPr>
            <w:tcW w:type="dxa" w:w="11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Multa est.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Registro ante SAT (Portal en Internet)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Art. 18-IV Bis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 ]C [ ]P [ ]N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 ]V [ ]A [ ]R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$234,620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Representante de Cumplimiento designado (persona física)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Art. 20 / Art. 10 RCG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 ]C [ ]P [ ]N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 ]V [ ]A [ ]R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$234,620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Manual de Políticas Internas (14 rubros del Art. 37 Bis RCG)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Art. 18-VIII / Cap. X RCG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 ]C [ ]P [ ]N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 ]V [ ]A [ ]R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$234,620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Expedientes KYC de clientes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Art. 18-I y II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 ]C [ ]P [ ]N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 ]V [ ]A [ ]R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$234,620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Metodología EBR documentada e implementada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Art. 18-VII / Cap. II Quáter RCG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 ]C [ ]P [ ]N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 ]V [ ]A [ ]R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$234,620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 (*)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Clasificación del Grado de Riesgo del cliente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Cap. III Bis RCG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 ]C [ ]P [ ]N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 ]V [ ]A [ ]R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$234,620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7 (*)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Identificación del Beneficiario Controlador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Art. 18-III / Cap. III Quinquies RCG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 ]C [ ]P [ ]N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 ]V [ ]A [ ]R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$234,620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Política de PEP's documentada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Art. 18-VIII / Cap. III Quáter RCG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 ]C [ ]P [ ]N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 ]V [ ]A [ ]R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$234,620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 (*)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Perfil Transaccional y sistema de alertas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Cap. III Ter RCG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 ]C [ ]P [ ]N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 ]V [ ]A [ ]R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$234,620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Reportes de operaciones inusuales al SAT (Avisos 24 hrs.)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Art. 18-VI / Art. 26 Bis RCG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 ]C [ ]P [ ]N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 ]V [ ]A [ ]R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$7,625,150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Control de Avisos mensuales SAT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Art. 23 Ley / Art. 25 RCG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 ]C [ ]P [ ]N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 ]V [ ]A [ ]R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$7,625,150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12 (*)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Seguimiento y acumulación de actos u operaciones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Art. 19 RCG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 ]C [ ]P [ ]N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 ]V [ ]A [ ]R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$234,620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Programa anual de capacitación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Art. 18-IX / Cap. XII RCG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 ]C [ ]P [ ]N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 ]V [ ]A [ ]R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$234,620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14 (*)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Selección de personal (declaración firmada)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Art. 39 Bis 2 RCG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 ]C [ ]P [ ]N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 ]V [ ]A [ ]R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$234,620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Política de resguardo documental (plazos diferenciados)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Art. 18-IV / Arts. 39 Bis 1, 41 y 51 RCG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 ]C [ ]P [ ]N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 ]V [ ]A [ ]R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$234,620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16 (*)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Mecanismos automatizados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Art. 41 / Cap. XIII RCG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 ]C [ ]P [ ]N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 ]V [ ]A [ ]R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$234,620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17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Auditoría anual — OBLIGATORIA a partir de 2028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Art. 18-XI / Cap. XIV RCG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 ]C [ ]P [ ]N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 ]V [ ]A [ ]R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$234,620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18 (*)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Identificación de personas en listas de autoridades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Art. 38 RCG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 ]C [ ]P [ ]N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 ]V [ ]A [ ]R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$234,620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19 (*)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Confidencialidad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Art. 31 RCG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 ]C [ ]P [ ]N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 ]V [ ]A [ ]R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$234,620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Restricción de pagos en efectivo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Art. 32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 ]C [ ]P [ ]N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 ]V [ ]A [ ]R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$7,625,150</w:t>
            </w:r>
          </w:p>
        </w:tc>
      </w:tr>
    </w:tbl>
    <w:p>
      <w:pPr>
        <w:spacing w:after="160" w:before="60"/>
      </w:pPr>
      <w:r>
        <w:rPr>
          <w:i/>
          <w:iCs/>
          <w:color w:val="666666"/>
          <w:sz w:val="19"/>
          <w:szCs w:val="19"/>
        </w:rPr>
        <w:t xml:space="preserve">C = Cumple · P = Parcial · N = No cumple · V/A/R = semáforo Verde/Amarillo/Rojo. (*) = rubro de nueva incorporación conforme al Acuerdo 115/2026. Multas máximas del Art. 54 de la Ley con UMA 2026 ($117.31): 2,000 UMA = $234,620 (infracciones al Art. 18); 65,000 UMA = $7,625,150 (omisión de Avisos y operaciones prohibidas en efectivo), o 10%–100% del valor del acto si resulta mayor.</w:t>
      </w:r>
    </w:p>
    <w:p>
      <w:pPr>
        <w:pStyle w:val="Heading2"/>
        <w:spacing w:after="120" w:before="320"/>
      </w:pPr>
      <w:r>
        <w:t xml:space="preserve">III. Resumen ejecutivo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Total de rubros evaluados: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Rubros en cumplimiento (VERDE):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  ]</w:t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Rubros en cumplimiento parcial (AMARILLO):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  ]</w:t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Rubros en incumplimiento (ROJO):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  ]</w:t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De los cuales, rubros nuevos por el Acuerdo 115/2026 (de 8 posibles):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  ]</w:t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Multa máxima acumulada estimada: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$[  ] MXN</w:t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Beneficio por actuación espontánea (Art. 55: abstención por única ocasión o reducción de hasta 50%):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$[  ] MXN</w:t>
            </w:r>
          </w:p>
        </w:tc>
      </w:tr>
    </w:tbl>
    <w:p>
      <w:pPr>
        <w:pStyle w:val="Heading2"/>
        <w:spacing w:after="120" w:before="320"/>
      </w:pPr>
      <w:r>
        <w:t xml:space="preserve">IV. Plan de acción correctiva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Rubro</w:t>
            </w:r>
          </w:p>
        </w:tc>
        <w:tc>
          <w:tcPr>
            <w:tcW w:type="dxa" w:w="32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Acción correctiva</w:t>
            </w:r>
          </w:p>
        </w:tc>
        <w:tc>
          <w:tcPr>
            <w:tcW w:type="dxa" w:w="12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Doc. Certus PLD</w:t>
            </w:r>
          </w:p>
        </w:tc>
        <w:tc>
          <w:tcPr>
            <w:tcW w:type="dxa" w:w="20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Plazo sugerido</w:t>
            </w:r>
          </w:p>
        </w:tc>
        <w:tc>
          <w:tcPr>
            <w:tcW w:type="dxa" w:w="14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Responsable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 — Registro SAT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Iniciar trámite de alta en el Portal en Internet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D3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Semana 1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Representante Legal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 — Representante Cumpl.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Convocar sesión y firmar Acta de Designación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D2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Semana 1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Representante Legal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 — Manual PLD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Adoptar e implementar el Manual de Políticas Internas (23 capítulos)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D5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Semana 2-3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Representante Cumpl.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 — KYC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Integrar expedientes KYC de clientes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D7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Semana 2-4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Representante Cumpl.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 — EBR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Documentar la Metodología EBR ponderada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D6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Semana 2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Representante Cumpl.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 — Grado de Riesgo (*)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Clasificar la cartera de clientes existente en Bajo/Medio/Alto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D6 / D7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Antes del 1 mar 2027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Representante Cumpl.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7 — Beneficiario Controlador (*)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Identificar y documentar el BC de clientes persona moral / fideicomiso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D7 / D14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Antes del 1 mar 2027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Representante Cumpl.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8 — PEP's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Adoptar Política de PEP's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D8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Semana 2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Representante Cumpl.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 — Perfil Transaccional (*)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Implementar el sistema de alertas y determinar el perfil inicial de cada cliente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D5 Cap. 9 / D7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Antes del 1 mar 2027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Representante Cumpl.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 — Avisos por sospecha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Ajustar el proceso interno al plazo de 24 horas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D9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Semana 3-4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Representante Cumpl.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11 — Control de Avisos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Implementar control de Avisos mensuales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D12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Semana 3-4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Representante Cumpl.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12 — Acumulación (*)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Implementar el seguimiento de acumulación en periodos de 6 meses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D5 Cap. 13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Antes del 1 mar 2027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Representante Cumpl.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13 — Capacitación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Ejecutar el primer ciclo Certus PLD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D11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Mes 2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Representante Cumpl.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14 — Selección de personal (*)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Recabar Declaración de Selección de Personal en nuevas contrataciones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D11D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 partir del 1 mar 2027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Recursos Humanos / Repr. Cumpl.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15 — Resguardo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Adoptar la Política de Resguardo con plazos diferenciados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D10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Semana 3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Representante Cumpl.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16 — Mecanismos automatizados (*)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Habilitar mecanismos automatizados con las 6 funciones del Art. 41 RCG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D5 Cap. 18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Antes del 1 jun 2027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Representante Cumpl. / TI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17 — Auditoría anual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Designar persona o área auditora independiente según el Riesgo de la empresa (Arts. 44-45 RCG) para el periodo 2028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D13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Dictamen a más tardar el último día hábil de marzo de 2029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Órgano de Administración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18 — Listas de autoridades (*)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Incorporar la consulta de listas de la UIF y organismos internacionales al proceso de identificación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D5 Cap. 15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Antes del 1 mar 2027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Representante Cumpl.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19 — Confidencialidad (*)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Formalizar las medidas de confidencialidad en el Manual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D5 Cap. 20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Semana 2-3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Representante Cumpl.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20 — Restricción de efectivo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Difundir al personal de ventas y cobranza que no se acepta efectivo cuando el valor del inmueble es de 8,025 UMA o más, ni en rentas de 3,210 UMA mensuales o más (Art. 32)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D5 Cap. 11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Semana 2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Representante Cumpl.</w:t>
            </w:r>
          </w:p>
        </w:tc>
      </w:tr>
    </w:tbl>
    <w:p>
      <w:pPr>
        <w:spacing w:after="160"/>
      </w:pPr>
    </w:p>
    <w:p>
      <w:pPr>
        <w:spacing w:before="200"/>
      </w:pPr>
      <w:r>
        <w:rPr>
          <w:color w:val="888888"/>
          <w:sz w:val="16"/>
          <w:szCs w:val="16"/>
        </w:rPr>
        <w:t xml:space="preserve">Soporte técnico Certus PLD: contacto@certusconsultores.com.mx │ Tel. 999 163 1363 │ Certus Consultores │ Mérida, Yucatán</w:t>
      </w:r>
    </w:p>
    <w:sectPr>
      <w:headerReference w:type="default" r:id="rId8"/>
      <w:footerReference w:type="default" r:id="rId9"/>
      <w:headerReference w:type="first" r:id="rId10"/>
      <w:footerReference w:type="first" r:id="rId11"/>
      <w:headerReference w:type="even" r:id="rId12"/>
      <w:footerReference w:type="even" r:id="rId13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pBdr>
        <w:bottom w:val="single" w:color="B08D57" w:sz="6" w:space="4"/>
      </w:pBdr>
      <w:spacing w:after="120" w:before="260"/>
    </w:pPr>
    <w:rPr>
      <w:rFonts w:ascii="Calibri" w:cs="Calibri" w:eastAsia="Calibri" w:hAnsi="Calibri"/>
      <w:b/>
      <w:bCs/>
      <w:color w:val="1F3864"/>
      <w:sz w:val="25"/>
      <w:szCs w:val="25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2026-08-11T14:22:09.536Z</dcterms:created>
  <dcterms:modified xsi:type="dcterms:W3CDTF">2026-08-11T14:22:09.538Z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