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D1D09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53D1D0A" w14:textId="77777777" w:rsidR="007850A9" w:rsidRDefault="00000000">
      <w:pPr>
        <w:spacing w:after="60"/>
        <w:jc w:val="center"/>
      </w:pPr>
      <w:r>
        <w:rPr>
          <w:b/>
          <w:bCs/>
          <w:color w:val="1B2A4A"/>
          <w:sz w:val="24"/>
          <w:szCs w:val="24"/>
        </w:rPr>
        <w:t>PT-00 — CÉDULA DE PLANEACIÓN DE AUDITORÍA</w:t>
      </w:r>
    </w:p>
    <w:p w14:paraId="253D1D0B" w14:textId="77777777" w:rsidR="007850A9" w:rsidRDefault="00000000">
      <w:pPr>
        <w:spacing w:after="120"/>
        <w:jc w:val="center"/>
      </w:pPr>
      <w:r>
        <w:rPr>
          <w:color w:val="C9A84C"/>
          <w:sz w:val="17"/>
          <w:szCs w:val="17"/>
        </w:rPr>
        <w:t>Auditoría de Cierre + Regularización Histórica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7850A9" w14:paraId="253D1D0D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0C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I.  DATOS GENERALES DE LA AUDITORIA</w:t>
            </w:r>
          </w:p>
        </w:tc>
      </w:tr>
      <w:tr w:rsidR="007850A9" w14:paraId="253D1D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0E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Empresa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0F" w14:textId="0EE7C5B5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[La_Empresa]</w:t>
            </w:r>
          </w:p>
        </w:tc>
      </w:tr>
      <w:tr w:rsidR="007850A9" w14:paraId="253D1D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1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RFC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2" w14:textId="2CBD2372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[RFC]</w:t>
            </w:r>
          </w:p>
        </w:tc>
      </w:tr>
      <w:tr w:rsidR="007850A9" w14:paraId="253D1D1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4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Representante de 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5" w14:textId="427DCEB0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[RC_Nombre]</w:t>
            </w:r>
          </w:p>
        </w:tc>
      </w:tr>
      <w:tr w:rsidR="007850A9" w14:paraId="253D1D1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7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Auditor externo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8" w14:textId="743EC5E4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Jose Luis Naranjo Bobadilla — CERTUS CONSULTORES/ESPINOSA SALAZAR</w:t>
            </w:r>
          </w:p>
        </w:tc>
      </w:tr>
      <w:tr w:rsidR="007850A9" w14:paraId="253D1D1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A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Tipo de programa auditado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B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Certus PLD — Programa de Cumplimiento PLD/FT (90 días)</w:t>
            </w:r>
          </w:p>
        </w:tc>
      </w:tr>
      <w:tr w:rsidR="007850A9" w14:paraId="253D1D1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D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NOTA DE ESTRUCTURA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1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Auditoría en dos fases: Fase 0 (regularización histórica) + Fase 5 (auditoría de cierre)</w:t>
            </w:r>
          </w:p>
        </w:tc>
      </w:tr>
      <w:tr w:rsidR="007850A9" w14:paraId="253D1D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0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Período cubierto por la auditoría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1" w14:textId="12DF956A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Junio 2025 — [Fecha_Cierre] (período de vigencia de la reforma LFPIORPI julio 2025)</w:t>
            </w:r>
          </w:p>
        </w:tc>
      </w:tr>
      <w:tr w:rsidR="007850A9" w14:paraId="253D1D2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3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Fecha de inicio regularización histórica (Fase 0)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4" w14:textId="444A84A9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[Fecha_Inicio_Fase0]</w:t>
            </w:r>
          </w:p>
        </w:tc>
      </w:tr>
      <w:tr w:rsidR="007850A9" w14:paraId="253D1D2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6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Fecha de inicio auditoría de cierre (Fase 5)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7" w14:textId="42697785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[Fecha_Inicio]</w:t>
            </w:r>
          </w:p>
        </w:tc>
      </w:tr>
      <w:tr w:rsidR="007850A9" w14:paraId="253D1D2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9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Fecha estimada de cierre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A" w14:textId="1BF3829F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[Fecha_Cierre]</w:t>
            </w:r>
          </w:p>
        </w:tc>
      </w:tr>
      <w:tr w:rsidR="007850A9" w14:paraId="253D1D2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C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Lugar de ejecución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D" w14:textId="1EF12066" w:rsidR="007850A9" w:rsidRDefault="00376DD7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[Lugar]</w:t>
            </w:r>
          </w:p>
        </w:tc>
      </w:tr>
      <w:tr w:rsidR="007850A9" w14:paraId="253D1D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2F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6"/>
                <w:szCs w:val="16"/>
              </w:rPr>
              <w:t>Fundamento legal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3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LFPIORPI (reforma DOF 16 julio 2025), Reglamento (reforma DOF 27 marzo 2026), Art. 55 de la Ley (actuación espontánea)</w:t>
            </w:r>
          </w:p>
        </w:tc>
      </w:tr>
    </w:tbl>
    <w:p w14:paraId="253D1D32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50A9" w14:paraId="253D1D41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D1D33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9"/>
                <w:szCs w:val="19"/>
              </w:rPr>
              <w:t>II.  ESTRUCTURA DUAL: FASE 0 (REGULARIZACIÓN HISTÓRICA) + FASE 5 (AUDITORÍA DE CIERRE)</w:t>
            </w:r>
          </w:p>
          <w:p w14:paraId="253D1D34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Esta auditoría se ejecuta en dos fases secuenciales para asegurar que la empresa inicia la vigencia del programa sin deficiencias retroactivas que generen exposición legal.</w:t>
            </w:r>
          </w:p>
          <w:p w14:paraId="253D1D35" w14:textId="4C2FD8DF" w:rsidR="007850A9" w:rsidRDefault="0000000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FASE 0 — REGULARIZACIÓN HISTÓRICA (Ejecutada antes del 15 de [Fecha_Inicio]):</w:t>
            </w:r>
          </w:p>
          <w:p w14:paraId="253D1D36" w14:textId="242593FE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 xml:space="preserve">• Reconstrucción de expedientes KYC para todas las operaciones cerradas entre junio 2025 y [Mes_Anterior_Auditoria] 2026.</w:t>
            </w:r>
          </w:p>
          <w:p w14:paraId="253D1D37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Aplicación retrospectiva de la metodología EBR (D6 / D6-DEV) a cada cliente del período.</w:t>
            </w:r>
          </w:p>
          <w:p w14:paraId="253D1D38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Presentación extemporánea de avisos SAT para operaciones que superaban umbral y no fueron reportadas (actuación espontánea — Art. 55 LFPIORPI).</w:t>
            </w:r>
          </w:p>
          <w:p w14:paraId="253D1D39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Documento soporte: D0A — Acta de Regularización Histórica (incluye registro anexo de operaciones regularizadas).</w:t>
            </w:r>
          </w:p>
          <w:p w14:paraId="253D1D3A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• Resultado esperado: 100% de operaciones documentadas, avisos extemporáneos presentados con acuses SPPLD, beneficio de actuación espontánea (reducción de multas hasta 50%).</w:t>
            </w:r>
          </w:p>
          <w:p w14:paraId="253D1D3B" w14:textId="52E14A6B" w:rsidR="007850A9" w:rsidRDefault="00000000">
            <w:pPr>
              <w:spacing w:after="60"/>
            </w:pPr>
            <w:r>
              <w:rPr>
                <w:b/>
                <w:bCs/>
                <w:color w:val="1B2A4A"/>
                <w:sz w:val="18"/>
                <w:szCs w:val="18"/>
              </w:rPr>
              <w:t xml:space="preserve">FASE 5 — AUDITORÍA DE CIERRE (Ejecutada después del 15 de [Fecha_Inicio]):</w:t>
            </w:r>
          </w:p>
          <w:p w14:paraId="253D1D3C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Verificación de que el programa Certus PLD opera conforme a la normatividad vigente.</w:t>
            </w:r>
          </w:p>
          <w:p w14:paraId="253D1D3D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Revisión de que la Fase 0 fue completada correctamente (D0A integrada como soporte).</w:t>
            </w:r>
          </w:p>
          <w:p w14:paraId="253D1D3E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Muestreo y revisión de expedientes KYC, EBR, PEPs, ROIs, capacitación, resguardo documental.</w:t>
            </w:r>
          </w:p>
          <w:p w14:paraId="253D1D3F" w14:textId="77777777" w:rsidR="007850A9" w:rsidRDefault="00000000">
            <w:pPr>
              <w:spacing w:after="40"/>
            </w:pPr>
            <w:r>
              <w:rPr>
                <w:color w:val="000000"/>
                <w:sz w:val="17"/>
                <w:szCs w:val="17"/>
              </w:rPr>
              <w:t>• Opinión global reflejada en el D13 — Informe de Auditoría PLD, que consolidará tanto el resultado de la regularización como el estado operativo del programa.</w:t>
            </w:r>
          </w:p>
          <w:p w14:paraId="253D1D40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• Papeles de trabajo: PT-00 a PT-09 (soportan auditoría de Fase 5; Fase 0 queda documentada en D0A integrado a PT-00).</w:t>
            </w:r>
          </w:p>
        </w:tc>
      </w:tr>
    </w:tbl>
    <w:p w14:paraId="253D1D42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7850A9" w14:paraId="253D1D44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43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III.  OBJETIVO Y ALCANCE DE LA AUDITORÍA</w:t>
            </w:r>
          </w:p>
        </w:tc>
      </w:tr>
      <w:tr w:rsidR="007850A9" w14:paraId="253D1D47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5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Objetivo general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6" w14:textId="5DBF68DF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Verificar que el Programa Certus PLD opera de manera efectiva y conforme a las obligaciones establecidas por la LFPIORPI y su Reglamento, en el período completo desde junio 2025 hasta [Fecha_Cierre], incluyendo la regularización histórica de operaciones previas a la implementación del programa.</w:t>
            </w:r>
          </w:p>
        </w:tc>
      </w:tr>
      <w:tr w:rsidR="007850A9" w14:paraId="253D1D4A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8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Alcance temporal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9" w14:textId="5C0DD9E6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Período completo: junio 2025 — [Fecha_Cierre] (cubriendo la entrada en vigor de la reforma LFPIORPI — 17 julio 2025).</w:t>
            </w:r>
          </w:p>
        </w:tc>
      </w:tr>
      <w:tr w:rsidR="007850A9" w14:paraId="253D1D4D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B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Alcance por módulos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C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10 módulos operacionales del Programa Certus PLD, más verificación del proceso de regularización histórica (D0A).</w:t>
            </w:r>
          </w:p>
        </w:tc>
      </w:tr>
      <w:tr w:rsidR="007850A9" w14:paraId="253D1D50" w14:textId="77777777"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E" w14:textId="77777777" w:rsidR="007850A9" w:rsidRDefault="00000000">
            <w:pPr>
              <w:spacing w:after="80"/>
            </w:pPr>
            <w:r>
              <w:rPr>
                <w:b/>
                <w:bCs/>
                <w:color w:val="1B2A4A"/>
                <w:sz w:val="17"/>
                <w:szCs w:val="17"/>
              </w:rPr>
              <w:t>Limitaciones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4F" w14:textId="77777777" w:rsidR="007850A9" w:rsidRDefault="00000000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Ninguna. Se cuenta con acceso total a documentación de Fase 0 (D0A + anexo de operaciones regularizadas) y a los expedientes operacionales del período.</w:t>
            </w:r>
          </w:p>
        </w:tc>
      </w:tr>
    </w:tbl>
    <w:p w14:paraId="253D1D51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2780"/>
        <w:gridCol w:w="3714"/>
        <w:gridCol w:w="2041"/>
      </w:tblGrid>
      <w:tr w:rsidR="007850A9" w14:paraId="253D1D53" w14:textId="77777777">
        <w:trPr>
          <w:gridAfter w:val="1"/>
          <w:wAfter w:w="1260" w:type="dxa"/>
        </w:trPr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2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IV.  MODULOS A AUDITAR (FASE 5)</w:t>
            </w:r>
          </w:p>
        </w:tc>
      </w:tr>
      <w:tr w:rsidR="007850A9" w14:paraId="253D1D5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4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PT REF.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5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6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DOCUMENTO(S) REFERENCIA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7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ALCANCE</w:t>
            </w:r>
          </w:p>
        </w:tc>
      </w:tr>
      <w:tr w:rsidR="007850A9" w14:paraId="253D1D5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9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5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Planeación de auditoría + Regularización Fase 0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5B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D0A + cronograma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C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10 días</w:t>
            </w:r>
          </w:p>
        </w:tc>
      </w:tr>
      <w:tr w:rsidR="007850A9" w14:paraId="253D1D6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5E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5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documental integral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D0-D13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1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Kit completo</w:t>
            </w:r>
          </w:p>
        </w:tc>
      </w:tr>
      <w:tr w:rsidR="007850A9" w14:paraId="253D1D6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3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Registro SPPLD y avisos SAT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D3, D12, D0A (anexo)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6" w14:textId="6D464A3C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Jun 2025–[Mes_Anterior_Auditoria] + actuación espontánea</w:t>
            </w:r>
          </w:p>
        </w:tc>
      </w:tr>
      <w:tr w:rsidR="007850A9" w14:paraId="253D1D6C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8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Muestreo KYC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D7 / D7-DEV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B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Min. 20% + 100% riesgo alto/PEPs</w:t>
            </w:r>
          </w:p>
        </w:tc>
      </w:tr>
      <w:tr w:rsidR="007850A9" w14:paraId="253D1D7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6D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Evaluación EBR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6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D6 / D6-DEV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0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Aplicación a universo cliente</w:t>
            </w:r>
          </w:p>
        </w:tc>
      </w:tr>
      <w:tr w:rsidR="007850A9" w14:paraId="253D1D7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2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3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Política PEPs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D8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5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Identificación y diligencia reforzada</w:t>
            </w:r>
          </w:p>
        </w:tc>
      </w:tr>
      <w:tr w:rsidR="007850A9" w14:paraId="253D1D7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7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8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Reportes ROI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D9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A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Detección y reporte de operaciones inusuales</w:t>
            </w:r>
          </w:p>
        </w:tc>
      </w:tr>
      <w:tr w:rsidR="007850A9" w14:paraId="253D1D8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C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D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Programa de capacitación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7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D11, D11B, D11C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7F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Personal del área PLD</w:t>
            </w:r>
          </w:p>
        </w:tc>
      </w:tr>
      <w:tr w:rsidR="007850A9" w14:paraId="253D1D8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1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2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Resguardo documental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3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D10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4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Integridad, acceso, plazo 5 años</w:t>
            </w:r>
          </w:p>
        </w:tc>
      </w:tr>
      <w:tr w:rsidR="007850A9" w14:paraId="253D1D8A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6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PT-09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7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Conclusión y cruce con D13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88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D13 + todos PT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9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Opinión global y plan de remediación</w:t>
            </w:r>
          </w:p>
        </w:tc>
      </w:tr>
    </w:tbl>
    <w:p w14:paraId="253D1D8B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00"/>
        <w:gridCol w:w="3600"/>
        <w:gridCol w:w="3660"/>
      </w:tblGrid>
      <w:tr w:rsidR="007850A9" w14:paraId="253D1D8D" w14:textId="77777777"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C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V.  CRONOGRAMA EJECUTIVO (FASE 5 — 10 DÍAS HÁBILES)</w:t>
            </w:r>
          </w:p>
        </w:tc>
      </w:tr>
      <w:tr w:rsidR="007850A9" w14:paraId="253D1D9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E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Semana 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8F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documental general (D0-D13), inicio SPPLD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1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PT-01, PT-02 (inicio)</w:t>
            </w:r>
          </w:p>
        </w:tc>
      </w:tr>
      <w:tr w:rsidR="007850A9" w14:paraId="253D1D9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3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4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Verificación completa SPPLD + avisos mensuales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6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PT-02 (cierre)</w:t>
            </w:r>
          </w:p>
        </w:tc>
      </w:tr>
      <w:tr w:rsidR="007850A9" w14:paraId="253D1D9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8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9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Selección muestra KYC + muestreo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B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PT-03 (día 1)</w:t>
            </w:r>
          </w:p>
        </w:tc>
      </w:tr>
      <w:tr w:rsidR="007850A9" w14:paraId="253D1D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D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9E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9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Continuación muestreo KYC + evaluación EBR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0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PT-03 (cierre), PT-04</w:t>
            </w:r>
          </w:p>
        </w:tc>
      </w:tr>
      <w:tr w:rsidR="007850A9" w14:paraId="253D1DA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2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3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PEPs + ROIs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5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PT-05, PT-06</w:t>
            </w:r>
          </w:p>
        </w:tc>
      </w:tr>
      <w:tr w:rsidR="007850A9" w14:paraId="253D1DA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7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Semana 9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8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Capacitación + resguardo documental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A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PT-07, PT-08</w:t>
            </w:r>
          </w:p>
        </w:tc>
      </w:tr>
      <w:tr w:rsidR="007850A9" w14:paraId="253D1DB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C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AD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Revisión transversal + coherencia sistémica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AF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PT-09 (inicio)</w:t>
            </w:r>
          </w:p>
        </w:tc>
      </w:tr>
      <w:tr w:rsidR="007850A9" w14:paraId="253D1DB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1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2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3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Consolidación de hallazgos + propuesta de opinión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PT-09 (continuación)</w:t>
            </w:r>
          </w:p>
        </w:tc>
      </w:tr>
      <w:tr w:rsidR="007850A9" w14:paraId="253D1DB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6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7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8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Resolución de pendientes + Acta de Cierre (ACTA-02)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9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PT-09 (cierre)</w:t>
            </w:r>
          </w:p>
        </w:tc>
      </w:tr>
      <w:tr w:rsidR="007850A9" w14:paraId="253D1DB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B" w14:textId="77777777" w:rsidR="007850A9" w:rsidRDefault="007850A9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BC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Día 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D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Redacción final D13 + entrega de informe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D1DBE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D13 entregable</w:t>
            </w:r>
          </w:p>
        </w:tc>
      </w:tr>
    </w:tbl>
    <w:p w14:paraId="253D1DC0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6"/>
        <w:gridCol w:w="5974"/>
        <w:gridCol w:w="340"/>
      </w:tblGrid>
      <w:tr w:rsidR="007850A9" w14:paraId="253D1DC2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1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VI.  CRITERIOS DE CALIFICACIÓN (SEMÁFORO)</w:t>
            </w:r>
          </w:p>
        </w:tc>
      </w:tr>
      <w:tr w:rsidR="007850A9" w14:paraId="253D1DC5" w14:textId="77777777">
        <w:trPr>
          <w:gridAfter w:val="1"/>
          <w:wAfter w:w="360" w:type="dxa"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3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VERDE — SATISFACTORIO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D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4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Cumple totalmente. Control operativo, documentación completa, sin incumplimientos formales a la LFPIORPI.</w:t>
            </w:r>
          </w:p>
        </w:tc>
      </w:tr>
      <w:tr w:rsidR="007850A9" w14:paraId="253D1DC8" w14:textId="77777777">
        <w:trPr>
          <w:gridAfter w:val="1"/>
          <w:wAfter w:w="360" w:type="dxa"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6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AMARILLO — OBSERVACIÓN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7" w14:textId="77777777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Deficiencia menor. Plan de remediación de corto plazo (30-60 días). No constituye incumplimiento formal.</w:t>
            </w:r>
          </w:p>
        </w:tc>
      </w:tr>
      <w:tr w:rsidR="007850A9" w14:paraId="253D1DCB" w14:textId="77777777">
        <w:trPr>
          <w:gridAfter w:val="1"/>
          <w:wAfter w:w="360" w:type="dxa"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9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ROJO — INCUMPLIMIENTO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7D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A" w14:textId="5A717EAF" w:rsidR="007850A9" w:rsidRDefault="00000000">
            <w:pPr>
              <w:spacing w:after="80"/>
            </w:pPr>
            <w:r>
              <w:rPr>
                <w:color w:val="000000"/>
                <w:sz w:val="16"/>
                <w:szCs w:val="16"/>
              </w:rPr>
              <w:t xml:space="preserve">Falta formal a la LFPIORPI. Acción correctiva inmediata requerida. Asentada en D13 como hallazgo de auditoría.</w:t>
            </w:r>
          </w:p>
        </w:tc>
      </w:tr>
    </w:tbl>
    <w:p w14:paraId="253D1DCC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50A9" w14:paraId="253D1DCE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D" w14:textId="77777777" w:rsidR="007850A9" w:rsidRDefault="00000000">
            <w:pPr>
              <w:spacing w:after="80"/>
            </w:pPr>
            <w:r>
              <w:rPr>
                <w:b/>
                <w:bCs/>
                <w:color w:val="FFFFFF"/>
              </w:rPr>
              <w:t>VII.  FIRMAS DE INICIO — CONFORMIDAD CON LA PLANEACIÓN</w:t>
            </w:r>
          </w:p>
        </w:tc>
      </w:tr>
      <w:tr w:rsidR="007850A9" w14:paraId="253D1DD2" w14:textId="77777777"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CF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AUDITOR EXTERNO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D0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REPRESENTANTE DE CUMPLIMIENTO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D1DD1" w14:textId="77777777" w:rsidR="007850A9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ÓRGANO DE ADMINISTRACIÓN</w:t>
            </w:r>
          </w:p>
        </w:tc>
      </w:tr>
      <w:tr w:rsidR="007850A9" w14:paraId="253D1DD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3D1DD3" w14:textId="77777777" w:rsidR="007850A9" w:rsidRDefault="00000000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53D1DD4" w14:textId="77777777" w:rsidR="007850A9" w:rsidRDefault="007850A9">
            <w:pPr>
              <w:pBdr>
                <w:bottom w:val="single" w:sz="4" w:space="1" w:color="1B2A4A"/>
              </w:pBdr>
              <w:spacing w:after="60"/>
            </w:pPr>
          </w:p>
          <w:p w14:paraId="253D1DD5" w14:textId="77777777" w:rsidR="007850A9" w:rsidRDefault="00000000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Jose Luis Naranjo Bobadilla</w:t>
            </w:r>
          </w:p>
          <w:p w14:paraId="253D1DD6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 xml:space="preserve">Bufete Juridico / Certus Consultores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3D1DD7" w14:textId="77777777" w:rsidR="007850A9" w:rsidRDefault="00000000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53D1DD8" w14:textId="77777777" w:rsidR="007850A9" w:rsidRDefault="007850A9">
            <w:pPr>
              <w:pBdr>
                <w:bottom w:val="single" w:sz="4" w:space="1" w:color="1B2A4A"/>
              </w:pBdr>
              <w:spacing w:after="60"/>
            </w:pPr>
          </w:p>
          <w:p w14:paraId="253D1DD9" w14:textId="18ECDBA7" w:rsidR="007850A9" w:rsidRDefault="00376DD7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[RC_Nombre]</w:t>
            </w:r>
          </w:p>
          <w:p w14:paraId="253D1DDA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Representante de Cumplimiento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40" w:type="dxa"/>
              <w:bottom w:w="160" w:type="dxa"/>
              <w:right w:w="140" w:type="dxa"/>
            </w:tcMar>
          </w:tcPr>
          <w:p w14:paraId="253D1DDB" w14:textId="77777777" w:rsidR="007850A9" w:rsidRDefault="00000000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53D1DDC" w14:textId="77777777" w:rsidR="007850A9" w:rsidRDefault="007850A9">
            <w:pPr>
              <w:pBdr>
                <w:bottom w:val="single" w:sz="4" w:space="1" w:color="1B2A4A"/>
              </w:pBdr>
              <w:spacing w:after="60"/>
            </w:pPr>
          </w:p>
          <w:p w14:paraId="253D1DDD" w14:textId="65E483CB" w:rsidR="007850A9" w:rsidRDefault="00376DD7">
            <w:pPr>
              <w:spacing w:after="20"/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[Testigo_Nombre]</w:t>
            </w:r>
          </w:p>
          <w:p w14:paraId="253D1DDE" w14:textId="77777777" w:rsidR="007850A9" w:rsidRDefault="00000000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Testigo / Órgano de Administración</w:t>
            </w:r>
          </w:p>
        </w:tc>
      </w:tr>
    </w:tbl>
    <w:p w14:paraId="253D1DE0" w14:textId="77777777" w:rsidR="007850A9" w:rsidRDefault="00000000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850A9" w14:paraId="253D1DE3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D1DE1" w14:textId="77777777" w:rsidR="007850A9" w:rsidRDefault="00000000">
            <w:pPr>
              <w:spacing w:after="60"/>
            </w:pPr>
            <w:r>
              <w:rPr>
                <w:b/>
                <w:bCs/>
                <w:color w:val="555500"/>
                <w:sz w:val="16"/>
                <w:szCs w:val="16"/>
              </w:rPr>
              <w:t>NOTA SOBRE ESTRUCTURA Y OBJETIVOS:</w:t>
            </w:r>
          </w:p>
          <w:p w14:paraId="253D1DE2" w14:textId="77777777" w:rsidR="007850A9" w:rsidRDefault="00000000">
            <w:pPr>
              <w:spacing w:after="80"/>
            </w:pPr>
            <w:r>
              <w:rPr>
                <w:color w:val="555500"/>
                <w:sz w:val="15"/>
                <w:szCs w:val="15"/>
              </w:rPr>
              <w:t>La estructura dual (Fase 0 + Fase 5) asegura que la empresa inicia sin deficiencias retroactivas. El D0A queda integrado como soporte en este PT-00 y en el PT-09, documentando la actuación espontánea del Art. 55 LFPIORPI (abstención de sancionar por única ocasión o, si ya se ejerció, reducción de hasta 50%). Si al cierre de la Fase 5 todos los módulos están en verde o amarillo, el D13 emite una opinión de cumplimiento efectivo respaldada por la regularización histórica.</w:t>
            </w:r>
          </w:p>
        </w:tc>
      </w:tr>
    </w:tbl>
    <w:p w14:paraId="253D1DE4" w14:textId="77777777" w:rsidR="001A045A" w:rsidRDefault="001A045A"/>
    <w:sectPr w:rsidR="001A045A">
      <w:headerReference w:type="default" r:id="rId7"/>
      <w:footerReference w:type="default" r:id="rId8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2CEE3" w14:textId="77777777" w:rsidR="00930620" w:rsidRDefault="00930620">
      <w:r>
        <w:separator/>
      </w:r>
    </w:p>
  </w:endnote>
  <w:endnote w:type="continuationSeparator" w:id="0">
    <w:p w14:paraId="75FECD1E" w14:textId="77777777" w:rsidR="00930620" w:rsidRDefault="00930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D1DEA" w14:textId="45FC0255" w:rsidR="007850A9" w:rsidRDefault="00000000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| Certus PLD | PT-00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790CE" w14:textId="77777777" w:rsidR="00930620" w:rsidRDefault="00930620">
      <w:r>
        <w:separator/>
      </w:r>
    </w:p>
  </w:footnote>
  <w:footnote w:type="continuationSeparator" w:id="0">
    <w:p w14:paraId="3129399B" w14:textId="77777777" w:rsidR="00930620" w:rsidRDefault="00930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500"/>
      <w:gridCol w:w="2860"/>
    </w:tblGrid>
    <w:tr w:rsidR="007850A9" w14:paraId="253D1DE8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253D1DE4" w14:textId="54CE39A4" w:rsidR="007850A9" w:rsidRDefault="00000000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PLD  |  </w:t>
          </w:r>
          <w:r w:rsidR="00B47DC8" w:rsidRPr="00B47DC8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253D1DE5" w14:textId="77777777" w:rsidR="007850A9" w:rsidRDefault="00000000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PT-00  Cédula de Planeación de Auditoría (Fase 0 + Fase 5)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53D1DE6" w14:textId="77777777" w:rsidR="007850A9" w:rsidRDefault="00000000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253D1DE7" w14:textId="77777777" w:rsidR="007850A9" w:rsidRDefault="00000000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253D1DE9" w14:textId="77777777" w:rsidR="007850A9" w:rsidRDefault="007850A9">
    <w:pPr>
      <w:spacing w:after="80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0650"/>
    <w:multiLevelType w:val="hybridMultilevel"/>
    <w:tmpl w:val="DE064AAC"/>
    <w:lvl w:ilvl="0" w:tplc="18FCFE3E">
      <w:start w:val="1"/>
      <w:numFmt w:val="bullet"/>
      <w:lvlText w:val="●"/>
      <w:lvlJc w:val="left"/>
      <w:pPr>
        <w:ind w:left="720" w:hanging="360"/>
      </w:pPr>
    </w:lvl>
    <w:lvl w:ilvl="1" w:tplc="191481FA">
      <w:start w:val="1"/>
      <w:numFmt w:val="bullet"/>
      <w:lvlText w:val="○"/>
      <w:lvlJc w:val="left"/>
      <w:pPr>
        <w:ind w:left="1440" w:hanging="360"/>
      </w:pPr>
    </w:lvl>
    <w:lvl w:ilvl="2" w:tplc="D360B8DC">
      <w:start w:val="1"/>
      <w:numFmt w:val="bullet"/>
      <w:lvlText w:val="■"/>
      <w:lvlJc w:val="left"/>
      <w:pPr>
        <w:ind w:left="2160" w:hanging="360"/>
      </w:pPr>
    </w:lvl>
    <w:lvl w:ilvl="3" w:tplc="4FB65F86">
      <w:start w:val="1"/>
      <w:numFmt w:val="bullet"/>
      <w:lvlText w:val="●"/>
      <w:lvlJc w:val="left"/>
      <w:pPr>
        <w:ind w:left="2880" w:hanging="360"/>
      </w:pPr>
    </w:lvl>
    <w:lvl w:ilvl="4" w:tplc="F8FED62C">
      <w:start w:val="1"/>
      <w:numFmt w:val="bullet"/>
      <w:lvlText w:val="○"/>
      <w:lvlJc w:val="left"/>
      <w:pPr>
        <w:ind w:left="3600" w:hanging="360"/>
      </w:pPr>
    </w:lvl>
    <w:lvl w:ilvl="5" w:tplc="1728BB8C">
      <w:start w:val="1"/>
      <w:numFmt w:val="bullet"/>
      <w:lvlText w:val="■"/>
      <w:lvlJc w:val="left"/>
      <w:pPr>
        <w:ind w:left="4320" w:hanging="360"/>
      </w:pPr>
    </w:lvl>
    <w:lvl w:ilvl="6" w:tplc="7AAEFB62">
      <w:start w:val="1"/>
      <w:numFmt w:val="bullet"/>
      <w:lvlText w:val="●"/>
      <w:lvlJc w:val="left"/>
      <w:pPr>
        <w:ind w:left="5040" w:hanging="360"/>
      </w:pPr>
    </w:lvl>
    <w:lvl w:ilvl="7" w:tplc="79E4A456">
      <w:start w:val="1"/>
      <w:numFmt w:val="bullet"/>
      <w:lvlText w:val="●"/>
      <w:lvlJc w:val="left"/>
      <w:pPr>
        <w:ind w:left="5760" w:hanging="360"/>
      </w:pPr>
    </w:lvl>
    <w:lvl w:ilvl="8" w:tplc="2A987580">
      <w:start w:val="1"/>
      <w:numFmt w:val="bullet"/>
      <w:lvlText w:val="●"/>
      <w:lvlJc w:val="left"/>
      <w:pPr>
        <w:ind w:left="6480" w:hanging="360"/>
      </w:pPr>
    </w:lvl>
  </w:abstractNum>
  <w:num w:numId="1" w16cid:durableId="4087690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0A9"/>
    <w:rsid w:val="001A045A"/>
    <w:rsid w:val="00376DD7"/>
    <w:rsid w:val="003D53FF"/>
    <w:rsid w:val="007850A9"/>
    <w:rsid w:val="008B629A"/>
    <w:rsid w:val="00930620"/>
    <w:rsid w:val="00A36732"/>
    <w:rsid w:val="00B4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1D09"/>
  <w15:docId w15:val="{A826E103-9563-4BAA-8927-C4F4C39F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47D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7DC8"/>
  </w:style>
  <w:style w:type="paragraph" w:styleId="Piedepgina">
    <w:name w:val="footer"/>
    <w:basedOn w:val="Normal"/>
    <w:link w:val="PiedepginaCar"/>
    <w:uiPriority w:val="99"/>
    <w:unhideWhenUsed/>
    <w:rsid w:val="00B47D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7D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934</Words>
  <Characters>5138</Characters>
  <Application>Microsoft Office Word</Application>
  <DocSecurity>0</DocSecurity>
  <Lines>42</Lines>
  <Paragraphs>12</Paragraphs>
  <ScaleCrop>false</ScaleCrop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4</cp:revision>
  <dcterms:created xsi:type="dcterms:W3CDTF">2026-05-31T01:10:00Z</dcterms:created>
  <dcterms:modified xsi:type="dcterms:W3CDTF">2026-05-31T14:29:00Z</dcterms:modified>
</cp:coreProperties>
</file>