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shd w:fill="1F3864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CERTUS PLD</w:t>
            </w:r>
            <w:r>
              <w:rPr>
                <w:rFonts w:ascii="Calibri" w:cs="Calibri" w:eastAsia="Calibri" w:hAnsi="Calibri"/>
                <w:color w:val="B08D57"/>
                <w:sz w:val="22"/>
                <w:szCs w:val="22"/>
              </w:rPr>
              <w:t xml:space="preserve">   |   </w:t>
            </w:r>
            <w:r>
              <w:rPr>
                <w:rFonts w:ascii="Calibri" w:cs="Calibri" w:eastAsia="Calibri" w:hAnsi="Calibri"/>
                <w:b/>
                <w:bCs/>
                <w:color w:val="B08D57"/>
                <w:sz w:val="22"/>
                <w:szCs w:val="22"/>
              </w:rPr>
              <w:t xml:space="preserve">D13-NOT </w:t>
            </w: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Informe de Auditoría Interna Certus PLD — Notarías</w:t>
            </w:r>
          </w:p>
          <w:p>
            <w:pPr>
              <w:spacing w:before="40"/>
            </w:pPr>
            <w:r>
              <w:rPr>
                <w:rFonts w:ascii="Calibri" w:cs="Calibri" w:eastAsia="Calibri" w:hAnsi="Calibri"/>
                <w:color w:val="D9D9D9"/>
                <w:sz w:val="18"/>
                <w:szCs w:val="18"/>
              </w:rPr>
              <w:t xml:space="preserve">Notaría: [NOMBRE DE LA NOTARIA]   │   Variante: Fe Pública — Fracción XII LFPIORPI</w:t>
            </w:r>
          </w:p>
        </w:tc>
      </w:tr>
    </w:tbl>
    <w:p/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Notaría: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 DE LA NOTARIA]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Periodo auditado: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[Mes/Año] al [Mes/Año]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Persona o área auditora: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[Área de auditoría interna independiente del Notario Titular / Persona auditora externa independiente]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Persona auditora externa independiente (si aplica):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 y acreditación: título y cédula, al menos 3 años de experiencia, certificación UIF vigente — Art. 45 RCG]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Consultor del programa (no auditor):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CERTUS CONSULTORES │ contacto@certusconsultores.com.mx │ 999 163 1363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Fecha del informe: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Tipo de auditoría: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Programada    [ ] Especial    [ ] Por requerimiento de autoridad</w:t>
            </w:r>
          </w:p>
        </w:tc>
      </w:tr>
    </w:tbl>
    <w:p/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I. Objetivo y Alcance</w:t>
      </w:r>
    </w:p>
    <w:p>
      <w:pPr>
        <w:spacing w:after="110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El presente informe documenta los resultados de la auditoría practicada al Programa Certus PLD de la Notaría, conforme al artículo 18, fracción XI, de la LFPIORPI y a los artículos 42 a 51 de las RCG. La auditoría es anual, del 1 de enero al 31 de diciembre (primer periodo: 2028, Octavo transitorio del Acuerdo 115/2026), y evalúa y dictamina la efectividad del cumplimiento de la Ley, su Reglamento y las RCG. Si el Riesgo de la Notaría es bajo o medio, puede realizarla un área de auditoría interna independiente del Notario Titular (Art. 44) o una persona auditora externa independiente; si es alto, o si así se elige, una persona auditora externa independiente que cumpla el Art. 45 y que no haya prestado servicios a la Notaría que generen conflicto de interés durante el periodo auditado. El dictamen se entrega a más tardar el último día hábil de marzo, se presenta directamente al Notario (Arts. 42 y 50), califica cada obligación como Cumple, Cumple mayoritariamente, Cumple parcialmente, No cumple o No aplica (Art. 48), incluye la proyección de multas de los hallazgos no atendidos (Art. 49) y se conserva al menos cinco años (Art. 51).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II. Metodología de Auditoría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Cuestionario inicial de conocimiento de la Notaría y análisis de su Riesgo (Art. 47 RCG); revisión documental de expedientes KYC del periodo (D7-NOT), con criterios de muestreo documentados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Verificación de la presentación oportuna de avisos — con atención especial a los incisos b), c) y e), que son SIEMPRE objeto de aviso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Revisión de la lista de asistencia a capacitaciones Certus PLD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Verificación del sistema de resguardo documental (D10-NOT)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Entrevista al Notario Titular y, en su caso, al Encargado Operativo interno (D2-NOT) — ninguno de ellos puede actuar como auditor de su propio programa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rFonts w:ascii="Calibri" w:cs="Calibri" w:eastAsia="Calibri" w:hAnsi="Calibri"/>
          <w:sz w:val="20"/>
          <w:szCs w:val="20"/>
        </w:rPr>
        <w:t xml:space="preserve">Revisión de reportes de operaciones inusuales del periodo (D9-NOT)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III. Hallazgos por Módulo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"/>
        <w:gridCol w:w="1750"/>
        <w:gridCol w:w="2600"/>
        <w:gridCol w:w="950"/>
        <w:gridCol w:w="1550"/>
        <w:gridCol w:w="2150"/>
      </w:tblGrid>
      <w:tr>
        <w:trPr>
          <w:tblHeader/>
        </w:trPr>
        <w:tc>
          <w:tcPr>
            <w:tcW w:type="dxa" w:w="3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17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Módulo evaluado</w:t>
            </w:r>
          </w:p>
        </w:tc>
        <w:tc>
          <w:tcPr>
            <w:tcW w:type="dxa" w:w="26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Hallazgo / Observación</w:t>
            </w:r>
          </w:p>
        </w:tc>
        <w:tc>
          <w:tcPr>
            <w:tcW w:type="dxa" w:w="9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Semáforo</w:t>
            </w:r>
          </w:p>
        </w:tc>
        <w:tc>
          <w:tcPr>
            <w:tcW w:type="dxa" w:w="15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Riesgo</w:t>
            </w:r>
          </w:p>
        </w:tc>
        <w:tc>
          <w:tcPr>
            <w:tcW w:type="dxa" w:w="21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 correctiva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Registro personal SAT (SPPLD)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Constancia de Asunción Personal (D2-NOT)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Expedientes KYC (D7-NOT)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4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Evaluaciones EBR (D6-NOT)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5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Política de PEP's y Beneficiario Controlador (D8-NOT)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6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Avisos SIEMPRE obligatorios (incisos b, c, e)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7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Avisos con umbral (incisos a, d)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8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Reportes de operaciones inusuales (D9-NOT)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9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Resguardo documental (D10-NOT)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10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Programa de capacitación (D11)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11</w:t>
            </w:r>
          </w:p>
        </w:tc>
        <w:tc>
          <w:tcPr>
            <w:tcW w:type="dxa" w:w="17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Restricción de efectivo (Art. 32-33)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  <w:tr>
        <w:tc>
          <w:tcPr>
            <w:tcW w:type="dxa" w:w="3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  <w:tc>
          <w:tcPr>
            <w:tcW w:type="dxa" w:w="17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Manual de Cumplimiento (D5-NOT)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[Describir hallazgo]</w:t>
            </w:r>
          </w:p>
        </w:tc>
        <w:tc>
          <w:tcPr>
            <w:tcW w:type="dxa" w:w="9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]V [ ]A [ ]R</w:t>
            </w:r>
          </w:p>
        </w:tc>
        <w:tc>
          <w:tcPr>
            <w:tcW w:type="dxa" w:w="15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]Alto [ ]Medio [ ]Bajo</w:t>
            </w:r>
          </w:p>
        </w:tc>
        <w:tc>
          <w:tcPr>
            <w:tcW w:type="dxa" w:w="21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IV. Resumen Ejecutivo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Total de módulos auditados: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12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Módulos en cumplimiento (VERDE):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Módulos con observaciones (AMARILLO):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Módulos con incumplimiento (ROJO):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 ]</w:t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Calificación global del programa: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SATISFACTORIO   [ ] CON OBSERVACIONES   [ ] INSATISFACTORIO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V. Plan de Remediación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100"/>
        <w:gridCol w:w="2600"/>
        <w:gridCol w:w="1500"/>
        <w:gridCol w:w="1400"/>
        <w:gridCol w:w="1250"/>
      </w:tblGrid>
      <w:tr>
        <w:trPr>
          <w:tblHeader/>
        </w:trPr>
        <w:tc>
          <w:tcPr>
            <w:tcW w:type="dxa" w:w="5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No.</w:t>
            </w:r>
          </w:p>
        </w:tc>
        <w:tc>
          <w:tcPr>
            <w:tcW w:type="dxa" w:w="21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Hallazgo</w:t>
            </w:r>
          </w:p>
        </w:tc>
        <w:tc>
          <w:tcPr>
            <w:tcW w:type="dxa" w:w="26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Acción correctiva</w:t>
            </w:r>
          </w:p>
        </w:tc>
        <w:tc>
          <w:tcPr>
            <w:tcW w:type="dxa" w:w="15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Responsable</w:t>
            </w:r>
          </w:p>
        </w:tc>
        <w:tc>
          <w:tcPr>
            <w:tcW w:type="dxa" w:w="140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Fecha compromiso</w:t>
            </w:r>
          </w:p>
        </w:tc>
        <w:tc>
          <w:tcPr>
            <w:tcW w:type="dxa" w:w="1250"/>
            <w:shd w:fill="1F386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Estado</w:t>
            </w:r>
          </w:p>
        </w:tc>
      </w:tr>
      <w:tr>
        <w:tc>
          <w:tcPr>
            <w:tcW w:type="dxa" w:w="5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1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[Hallazgo 1]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Notario Titular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  <w:tc>
          <w:tcPr>
            <w:tcW w:type="dxa" w:w="12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Pend. [ ] Proc. [ ] Cerrado</w:t>
            </w:r>
          </w:p>
        </w:tc>
      </w:tr>
      <w:tr>
        <w:tc>
          <w:tcPr>
            <w:tcW w:type="dxa" w:w="5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2</w:t>
            </w:r>
          </w:p>
        </w:tc>
        <w:tc>
          <w:tcPr>
            <w:tcW w:type="dxa" w:w="21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[Hallazgo 2]</w:t>
            </w:r>
          </w:p>
        </w:tc>
        <w:tc>
          <w:tcPr>
            <w:tcW w:type="dxa" w:w="26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  <w:tc>
          <w:tcPr>
            <w:tcW w:type="dxa" w:w="15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Notario Titular</w:t>
            </w:r>
          </w:p>
        </w:tc>
        <w:tc>
          <w:tcPr>
            <w:tcW w:type="dxa" w:w="140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  <w:tc>
          <w:tcPr>
            <w:tcW w:type="dxa" w:w="1250"/>
            <w:shd w:fill="F4F4F4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Pend. [ ] Proc. [ ] Cerrado</w:t>
            </w:r>
          </w:p>
        </w:tc>
      </w:tr>
      <w:tr>
        <w:tc>
          <w:tcPr>
            <w:tcW w:type="dxa" w:w="5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3</w:t>
            </w:r>
          </w:p>
        </w:tc>
        <w:tc>
          <w:tcPr>
            <w:tcW w:type="dxa" w:w="21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[Hallazgo 3]</w:t>
            </w:r>
          </w:p>
        </w:tc>
        <w:tc>
          <w:tcPr>
            <w:tcW w:type="dxa" w:w="26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[Acción]</w:t>
            </w:r>
          </w:p>
        </w:tc>
        <w:tc>
          <w:tcPr>
            <w:tcW w:type="dxa" w:w="15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Notario Titular</w:t>
            </w:r>
          </w:p>
        </w:tc>
        <w:tc>
          <w:tcPr>
            <w:tcW w:type="dxa" w:w="140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[FECHA]</w:t>
            </w:r>
          </w:p>
        </w:tc>
        <w:tc>
          <w:tcPr>
            <w:tcW w:type="dxa" w:w="1250"/>
            <w:shd w:fill="FFFFFF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 ] Pend. [ ] Proc. [ ] Cerrado</w:t>
            </w:r>
          </w:p>
        </w:tc>
      </w:tr>
    </w:tbl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VI. Conclusión</w:t>
      </w:r>
    </w:p>
    <w:p>
      <w:pPr>
        <w:spacing w:after="110"/>
      </w:pPr>
      <w:r>
        <w:rPr>
          <w:rFonts w:ascii="Calibri" w:cs="Calibri" w:eastAsia="Calibri" w:hAnsi="Calibri"/>
          <w:sz w:val="20"/>
          <w:szCs w:val="20"/>
        </w:rPr>
        <w:t xml:space="preserve">[Redactar la conclusión general del estado del Programa Certus PLD al cierre del periodo auditado, incluyendo una opinión sobre la efectividad del programa y las recomendaciones prioritarias para el siguiente ciclo, considerando que la responsabilidad de implementar las recomendaciones recae personalmente en el Notario Titular.]</w:t>
      </w:r>
    </w:p>
    <w:p>
      <w:pPr>
        <w:pBdr>
          <w:bottom w:val="single" w:color="B08D57" w:sz="6" w:space="2"/>
        </w:pBdr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VII. Firmas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50"/>
      </w:tblGrid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Notario Titular (responsable personal — recibió y tomó nota):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Persona o área auditora (elaboró):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/>
        </w:tc>
      </w:tr>
      <w:tr>
        <w:tc>
          <w:tcPr>
            <w:tcW w:type="dxa" w:w="3200"/>
            <w:shd w:fill="EDEDED" w:val="clear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6"/>
                <w:szCs w:val="16"/>
              </w:rPr>
              <w:t xml:space="preserve">Persona auditora externa independiente (si aplica):</w:t>
            </w:r>
          </w:p>
        </w:tc>
        <w:tc>
          <w:tcPr>
            <w:tcW w:type="dxa" w:w="6150"/>
            <w:tcMar>
              <w:top w:type="dxa" w:w="55"/>
              <w:left w:type="dxa" w:w="80"/>
              <w:bottom w:type="dxa" w:w="55"/>
              <w:right w:type="dxa" w:w="8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6"/>
                <w:szCs w:val="16"/>
              </w:rPr>
              <w:t xml:space="preserve">[Nombre]</w:t>
            </w:r>
          </w:p>
        </w:tc>
      </w:tr>
    </w:tbl>
    <w:p>
      <w:pPr>
        <w:spacing w:after="11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Próxima auditoría programada: [FECHA]</w:t>
      </w:r>
    </w:p>
    <w:p/>
    <w:p>
      <w:pPr>
        <w:pBdr>
          <w:top w:val="single" w:color="B08D57" w:sz="4" w:space="4"/>
        </w:pBdr>
        <w:spacing w:before="200"/>
      </w:pPr>
      <w:r>
        <w:rPr>
          <w:rFonts w:ascii="Calibri" w:cs="Calibri" w:eastAsia="Calibri" w:hAnsi="Calibri"/>
          <w:color w:val="808080"/>
          <w:sz w:val="16"/>
          <w:szCs w:val="16"/>
        </w:rPr>
        <w:t xml:space="preserve">CERTUS CONSULTORES  |  Certus PLD  |  Mérida, Yucatán  |  999 163 1363</w:t>
      </w:r>
    </w:p>
    <w:sectPr>
      <w:headerReference w:type="default" r:id="rId8"/>
      <w:footerReference w:type="default" r:id="rId9"/>
      <w:headerReference w:type="first" r:id="rId10"/>
      <w:footerReference w:type="first" r:id="rId11"/>
      <w:headerReference w:type="even" r:id="rId12"/>
      <w:footerReference w:type="even" r:id="rId13"/>
      <w:pgSz w:w="12240" w:h="15840" w:orient="portrait"/>
      <w:pgMar w:top="900" w:right="700" w:bottom="9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2026-09-09T14:48:47.374Z</dcterms:created>
  <dcterms:modified xsi:type="dcterms:W3CDTF">2026-09-09T14:48:47.375Z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