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D3-NOT </w:t>
            </w:r>
            <w:r>
              <w:rPr>
                <w:rFonts w:ascii="Calibri" w:cs="Calibri" w:eastAsia="Calibri" w:hAnsi="Calibri"/>
                <w:b/>
                <w:bCs/>
                <w:color w:val="FFFFFF"/>
                <w:sz w:val="22"/>
                <w:szCs w:val="22"/>
              </w:rPr>
              <w:t xml:space="preserve">Expediente de Registro ante el SAT — Portal SPPLD (Notarías)</w:t>
            </w:r>
          </w:p>
          <w:p>
            <w:pPr>
              <w:spacing w:before="40"/>
            </w:pPr>
            <w:r>
              <w:rPr>
                <w:rFonts w:ascii="Calibri" w:cs="Calibri" w:eastAsia="Calibri" w:hAnsi="Calibri"/>
                <w:color w:val="D9D9D9"/>
                <w:sz w:val="18"/>
                <w:szCs w:val="18"/>
              </w:rPr>
              <w:t xml:space="preserve">Notaría: [Denominación de la Notaría]   │   Variante: Fe Pública — Fracción XII LFPIORPI</w:t>
            </w:r>
          </w:p>
        </w:tc>
      </w:tr>
    </w:tbl>
    <w:p/>
    <w:p>
      <w:pPr>
        <w:pBdr>
          <w:bottom w:val="single" w:color="B08D57" w:sz="6" w:space="2"/>
        </w:pBdr>
        <w:spacing w:after="140" w:before="260"/>
      </w:pPr>
      <w:r>
        <w:rPr>
          <w:rFonts w:ascii="Calibri" w:cs="Calibri" w:eastAsia="Calibri" w:hAnsi="Calibri"/>
          <w:b/>
          <w:bCs/>
          <w:color w:val="1F3864"/>
          <w:sz w:val="24"/>
          <w:szCs w:val="24"/>
        </w:rPr>
        <w:t xml:space="preserve">I. Información general del trámite</w:t>
      </w:r>
    </w:p>
    <w:p>
      <w:pPr>
        <w:spacing w:after="120"/>
      </w:pPr>
      <w:r>
        <w:rPr>
          <w:rFonts w:ascii="Calibri" w:cs="Calibri" w:eastAsia="Calibri" w:hAnsi="Calibri"/>
          <w:sz w:val="21"/>
          <w:szCs w:val="21"/>
        </w:rPr>
        <w:t xml:space="preserve">El alta y registro en el Padrón de quienes realizan Actividades Vulnerables, a través del portal SPPLD, es una obligación establecida en el artículo 18, fracción IV Bis, de la LFPIORPI y en el artículo 4 de las Reglas de Carácter General. A diferencia de una persona moral, el Notario Titular se registra a título PERSONAL como sujeto obligado — conforme al artículo 20, último párrafo, LFPIORPI, no existe una figura de "Representante Legal" que registre a la Notaría como si fuera una empresa. Regularizar el registro antes del inicio de las facultades de verificación es relevante para el beneficio del artículo 55 (abstención de sanción por única ocasión; reducción de hasta 50% si ya se ejerció), por lo que la fecha de registro debe quedar documentada en este expediente.</w:t>
      </w:r>
    </w:p>
    <w:p>
      <w:pPr>
        <w:pBdr>
          <w:bottom w:val="single" w:color="B08D57" w:sz="6" w:space="2"/>
        </w:pBdr>
        <w:spacing w:after="140" w:before="260"/>
      </w:pPr>
      <w:r>
        <w:rPr>
          <w:rFonts w:ascii="Calibri" w:cs="Calibri" w:eastAsia="Calibri" w:hAnsi="Calibri"/>
          <w:b/>
          <w:bCs/>
          <w:color w:val="1F3864"/>
          <w:sz w:val="24"/>
          <w:szCs w:val="24"/>
        </w:rPr>
        <w:t xml:space="preserve">II. Requisitos documentales</w:t>
      </w:r>
    </w:p>
    <w:p>
      <w:pPr>
        <w:spacing w:after="80" w:before="160"/>
      </w:pPr>
      <w:r>
        <w:rPr>
          <w:rFonts w:ascii="Calibri" w:cs="Calibri" w:eastAsia="Calibri" w:hAnsi="Calibri"/>
          <w:b/>
          <w:bCs/>
          <w:color w:val="0A1628"/>
          <w:sz w:val="21"/>
          <w:szCs w:val="21"/>
        </w:rPr>
        <w:t xml:space="preserve">2.1 Documentos personales del Notario Titular</w:t>
      </w:r>
    </w:p>
    <w:p>
      <w:pPr>
        <w:pStyle w:val="ListParagraph"/>
        <w:numPr>
          <w:ilvl w:val="0"/>
          <w:numId w:val="1"/>
        </w:numPr>
        <w:spacing w:after="60"/>
      </w:pPr>
      <w:r>
        <w:rPr>
          <w:rFonts w:ascii="Calibri" w:cs="Calibri" w:eastAsia="Calibri" w:hAnsi="Calibri"/>
          <w:sz w:val="21"/>
          <w:szCs w:val="21"/>
        </w:rPr>
        <w:t xml:space="preserve">Nombramiento como Notario Público, expedido por el Ejecutivo del estado de adscripción</w:t>
      </w:r>
    </w:p>
    <w:p>
      <w:pPr>
        <w:pStyle w:val="ListParagraph"/>
        <w:numPr>
          <w:ilvl w:val="0"/>
          <w:numId w:val="1"/>
        </w:numPr>
        <w:spacing w:after="60"/>
      </w:pPr>
      <w:r>
        <w:rPr>
          <w:rFonts w:ascii="Calibri" w:cs="Calibri" w:eastAsia="Calibri" w:hAnsi="Calibri"/>
          <w:sz w:val="21"/>
          <w:szCs w:val="21"/>
        </w:rPr>
        <w:t xml:space="preserve">Patente o cédula que acredite el ejercicio vigente de la función notarial</w:t>
      </w:r>
    </w:p>
    <w:p>
      <w:pPr>
        <w:pStyle w:val="ListParagraph"/>
        <w:numPr>
          <w:ilvl w:val="0"/>
          <w:numId w:val="1"/>
        </w:numPr>
        <w:spacing w:after="60"/>
      </w:pPr>
      <w:r>
        <w:rPr>
          <w:rFonts w:ascii="Calibri" w:cs="Calibri" w:eastAsia="Calibri" w:hAnsi="Calibri"/>
          <w:sz w:val="21"/>
          <w:szCs w:val="21"/>
        </w:rPr>
        <w:t xml:space="preserve">Cédula profesional de Licenciado en Derecho</w:t>
      </w:r>
    </w:p>
    <w:p>
      <w:pPr>
        <w:pStyle w:val="ListParagraph"/>
        <w:numPr>
          <w:ilvl w:val="0"/>
          <w:numId w:val="1"/>
        </w:numPr>
        <w:spacing w:after="60"/>
      </w:pPr>
      <w:r>
        <w:rPr>
          <w:rFonts w:ascii="Calibri" w:cs="Calibri" w:eastAsia="Calibri" w:hAnsi="Calibri"/>
          <w:sz w:val="21"/>
          <w:szCs w:val="21"/>
        </w:rPr>
        <w:t xml:space="preserve">Identificación oficial vigente (credencial para votar o pasaporte)</w:t>
      </w:r>
    </w:p>
    <w:p>
      <w:pPr>
        <w:pStyle w:val="ListParagraph"/>
        <w:numPr>
          <w:ilvl w:val="0"/>
          <w:numId w:val="1"/>
        </w:numPr>
        <w:spacing w:after="60"/>
      </w:pPr>
      <w:r>
        <w:rPr>
          <w:rFonts w:ascii="Calibri" w:cs="Calibri" w:eastAsia="Calibri" w:hAnsi="Calibri"/>
          <w:sz w:val="21"/>
          <w:szCs w:val="21"/>
        </w:rPr>
        <w:t xml:space="preserve">CURP</w:t>
      </w:r>
    </w:p>
    <w:p>
      <w:pPr>
        <w:pStyle w:val="ListParagraph"/>
        <w:numPr>
          <w:ilvl w:val="0"/>
          <w:numId w:val="1"/>
        </w:numPr>
        <w:spacing w:after="60"/>
      </w:pPr>
      <w:r>
        <w:rPr>
          <w:rFonts w:ascii="Calibri" w:cs="Calibri" w:eastAsia="Calibri" w:hAnsi="Calibri"/>
          <w:sz w:val="21"/>
          <w:szCs w:val="21"/>
        </w:rPr>
        <w:t xml:space="preserve">RFC — Constancia de situación fiscal vigente</w:t>
      </w:r>
    </w:p>
    <w:p>
      <w:pPr>
        <w:pStyle w:val="ListParagraph"/>
        <w:numPr>
          <w:ilvl w:val="0"/>
          <w:numId w:val="1"/>
        </w:numPr>
        <w:spacing w:after="60"/>
      </w:pPr>
      <w:r>
        <w:rPr>
          <w:rFonts w:ascii="Calibri" w:cs="Calibri" w:eastAsia="Calibri" w:hAnsi="Calibri"/>
          <w:sz w:val="21"/>
          <w:szCs w:val="21"/>
        </w:rPr>
        <w:t xml:space="preserve">Comprobante de domicilio de la Notaría (no mayor a 3 meses); es el domicilio en el que se conservará la información y documentación (art. 18, fr. IV)</w:t>
      </w:r>
    </w:p>
    <w:p>
      <w:pPr>
        <w:pStyle w:val="ListParagraph"/>
        <w:numPr>
          <w:ilvl w:val="0"/>
          <w:numId w:val="1"/>
        </w:numPr>
        <w:spacing w:after="60"/>
      </w:pPr>
      <w:r>
        <w:rPr>
          <w:rFonts w:ascii="Calibri" w:cs="Calibri" w:eastAsia="Calibri" w:hAnsi="Calibri"/>
          <w:sz w:val="21"/>
          <w:szCs w:val="21"/>
        </w:rPr>
        <w:t xml:space="preserve">e.firma vigente del Notario Titular (persona física) — no de una persona moral</w:t>
      </w:r>
    </w:p>
    <w:p>
      <w:pPr>
        <w:spacing w:after="80" w:before="160"/>
      </w:pPr>
      <w:r>
        <w:rPr>
          <w:rFonts w:ascii="Calibri" w:cs="Calibri" w:eastAsia="Calibri" w:hAnsi="Calibri"/>
          <w:b/>
          <w:bCs/>
          <w:color w:val="0A1628"/>
          <w:sz w:val="21"/>
          <w:szCs w:val="21"/>
        </w:rPr>
        <w:t xml:space="preserve">2.2 Constancia de Asunción Personal (D2-NOT)</w:t>
      </w:r>
    </w:p>
    <w:p>
      <w:pPr>
        <w:pStyle w:val="ListParagraph"/>
        <w:numPr>
          <w:ilvl w:val="0"/>
          <w:numId w:val="1"/>
        </w:numPr>
        <w:spacing w:after="60"/>
      </w:pPr>
      <w:r>
        <w:rPr>
          <w:rFonts w:ascii="Calibri" w:cs="Calibri" w:eastAsia="Calibri" w:hAnsi="Calibri"/>
          <w:sz w:val="21"/>
          <w:szCs w:val="21"/>
        </w:rPr>
        <w:t xml:space="preserve">Constancia de Asunción Personal de Obligaciones PLD/FT firmada por el Notario Titular</w:t>
      </w:r>
    </w:p>
    <w:p>
      <w:pPr>
        <w:pStyle w:val="ListParagraph"/>
        <w:numPr>
          <w:ilvl w:val="0"/>
          <w:numId w:val="1"/>
        </w:numPr>
        <w:spacing w:after="60"/>
      </w:pPr>
      <w:r>
        <w:rPr>
          <w:rFonts w:ascii="Calibri" w:cs="Calibri" w:eastAsia="Calibri" w:hAnsi="Calibri"/>
          <w:sz w:val="21"/>
          <w:szCs w:val="21"/>
        </w:rPr>
        <w:t xml:space="preserve">En su caso, datos del Encargado Operativo interno designado — para fines internos únicamente; no se registra ante el SAT como representante</w:t>
      </w:r>
    </w:p>
    <w:p>
      <w:pPr>
        <w:spacing w:after="80" w:before="160"/>
      </w:pPr>
      <w:r>
        <w:rPr>
          <w:rFonts w:ascii="Calibri" w:cs="Calibri" w:eastAsia="Calibri" w:hAnsi="Calibri"/>
          <w:b/>
          <w:bCs/>
          <w:color w:val="0A1628"/>
          <w:sz w:val="21"/>
          <w:szCs w:val="21"/>
        </w:rPr>
        <w:t xml:space="preserve">2.3 Documentos de la actividad regulada</w:t>
      </w:r>
    </w:p>
    <w:p>
      <w:pPr>
        <w:pStyle w:val="ListParagraph"/>
        <w:numPr>
          <w:ilvl w:val="0"/>
          <w:numId w:val="1"/>
        </w:numPr>
        <w:spacing w:after="60"/>
      </w:pPr>
      <w:r>
        <w:rPr>
          <w:rFonts w:ascii="Calibri" w:cs="Calibri" w:eastAsia="Calibri" w:hAnsi="Calibri"/>
          <w:sz w:val="21"/>
          <w:szCs w:val="21"/>
        </w:rPr>
        <w:t xml:space="preserve">Descripción de los tipos de actos que formaliza la Notaría relacionados con la Fracción XII, Apartado A</w:t>
      </w:r>
    </w:p>
    <w:p>
      <w:pPr>
        <w:pStyle w:val="ListParagraph"/>
        <w:numPr>
          <w:ilvl w:val="0"/>
          <w:numId w:val="1"/>
        </w:numPr>
        <w:spacing w:after="60"/>
      </w:pPr>
      <w:r>
        <w:rPr>
          <w:rFonts w:ascii="Calibri" w:cs="Calibri" w:eastAsia="Calibri" w:hAnsi="Calibri"/>
          <w:sz w:val="21"/>
          <w:szCs w:val="21"/>
        </w:rPr>
        <w:t xml:space="preserve">Declaración de los incisos aplicables: a) transmisión de inmuebles, b) poderes irrevocables, c) constitución de sociedades, d) fideicomisos, e) mutuos</w:t>
      </w:r>
    </w:p>
    <w:p>
      <w:pPr>
        <w:pBdr>
          <w:bottom w:val="single" w:color="B08D57" w:sz="6" w:space="2"/>
        </w:pBdr>
        <w:spacing w:after="140" w:before="260"/>
      </w:pPr>
      <w:r>
        <w:rPr>
          <w:rFonts w:ascii="Calibri" w:cs="Calibri" w:eastAsia="Calibri" w:hAnsi="Calibri"/>
          <w:b/>
          <w:bCs/>
          <w:color w:val="1F3864"/>
          <w:sz w:val="24"/>
          <w:szCs w:val="24"/>
        </w:rPr>
        <w:t xml:space="preserve">III. Proceso de registro paso a paso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4550"/>
        <w:gridCol w:w="1800"/>
        <w:gridCol w:w="2300"/>
      </w:tblGrid>
      <w:tr>
        <w:trPr>
          <w:tblHeader/>
        </w:trPr>
        <w:tc>
          <w:tcPr>
            <w:tcW w:type="dxa" w:w="700"/>
            <w:shd w:fill="1F3864" w:val="clear"/>
            <w:tcMar>
              <w:top w:type="dxa" w:w="70"/>
              <w:left w:type="dxa" w:w="90"/>
              <w:bottom w:type="dxa" w:w="70"/>
              <w:right w:type="dxa" w:w="90"/>
            </w:tcMar>
            <w:vAlign w:val="center"/>
          </w:tcPr>
          <w:p>
            <w:r>
              <w:rPr>
                <w:rFonts w:ascii="Calibri" w:cs="Calibri" w:eastAsia="Calibri" w:hAnsi="Calibri"/>
                <w:b/>
                <w:bCs/>
                <w:color w:val="FFFFFF"/>
                <w:sz w:val="19"/>
                <w:szCs w:val="19"/>
              </w:rPr>
              <w:t xml:space="preserve">Paso</w:t>
            </w:r>
          </w:p>
        </w:tc>
        <w:tc>
          <w:tcPr>
            <w:tcW w:type="dxa" w:w="4550"/>
            <w:shd w:fill="1F3864" w:val="clear"/>
            <w:tcMar>
              <w:top w:type="dxa" w:w="70"/>
              <w:left w:type="dxa" w:w="90"/>
              <w:bottom w:type="dxa" w:w="70"/>
              <w:right w:type="dxa" w:w="90"/>
            </w:tcMar>
            <w:vAlign w:val="center"/>
          </w:tcPr>
          <w:p>
            <w:r>
              <w:rPr>
                <w:rFonts w:ascii="Calibri" w:cs="Calibri" w:eastAsia="Calibri" w:hAnsi="Calibri"/>
                <w:b/>
                <w:bCs/>
                <w:color w:val="FFFFFF"/>
                <w:sz w:val="19"/>
                <w:szCs w:val="19"/>
              </w:rPr>
              <w:t xml:space="preserve">Acción</w:t>
            </w:r>
          </w:p>
        </w:tc>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9"/>
                <w:szCs w:val="19"/>
              </w:rPr>
              <w:t xml:space="preserve">Responsable</w:t>
            </w:r>
          </w:p>
        </w:tc>
        <w:tc>
          <w:tcPr>
            <w:tcW w:type="dxa" w:w="2300"/>
            <w:shd w:fill="1F3864" w:val="clear"/>
            <w:tcMar>
              <w:top w:type="dxa" w:w="70"/>
              <w:left w:type="dxa" w:w="90"/>
              <w:bottom w:type="dxa" w:w="70"/>
              <w:right w:type="dxa" w:w="90"/>
            </w:tcMar>
            <w:vAlign w:val="center"/>
          </w:tcPr>
          <w:p>
            <w:r>
              <w:rPr>
                <w:rFonts w:ascii="Calibri" w:cs="Calibri" w:eastAsia="Calibri" w:hAnsi="Calibri"/>
                <w:b/>
                <w:bCs/>
                <w:color w:val="FFFFFF"/>
                <w:sz w:val="19"/>
                <w:szCs w:val="19"/>
              </w:rPr>
              <w:t xml:space="preserve">Plazo</w:t>
            </w:r>
          </w:p>
        </w:tc>
      </w:tr>
      <w:tr>
        <w:tc>
          <w:tcPr>
            <w:tcW w:type="dxa" w:w="7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1</w:t>
            </w:r>
          </w:p>
        </w:tc>
        <w:tc>
          <w:tcPr>
            <w:tcW w:type="dxa" w:w="455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Ingresar al portal: https://ppld.sat.gob.mx con e.firma PERSONAL del Notario Titular</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Notario Titular</w:t>
            </w:r>
          </w:p>
        </w:tc>
        <w:tc>
          <w:tcPr>
            <w:tcW w:type="dxa" w:w="23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Día 1</w:t>
            </w:r>
          </w:p>
        </w:tc>
      </w:tr>
      <w:tr>
        <w:tc>
          <w:tcPr>
            <w:tcW w:type="dxa" w:w="7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2</w:t>
            </w:r>
          </w:p>
        </w:tc>
        <w:tc>
          <w:tcPr>
            <w:tcW w:type="dxa" w:w="455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Seleccionar "Alta de Sujeto Obligado" — Actividad: Fe Pública / Notarios</w:t>
            </w:r>
          </w:p>
        </w:tc>
        <w:tc>
          <w:tcPr>
            <w:tcW w:type="dxa" w:w="18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Notario Titular</w:t>
            </w:r>
          </w:p>
        </w:tc>
        <w:tc>
          <w:tcPr>
            <w:tcW w:type="dxa" w:w="23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Día 1</w:t>
            </w:r>
          </w:p>
        </w:tc>
      </w:tr>
      <w:tr>
        <w:tc>
          <w:tcPr>
            <w:tcW w:type="dxa" w:w="7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3</w:t>
            </w:r>
          </w:p>
        </w:tc>
        <w:tc>
          <w:tcPr>
            <w:tcW w:type="dxa" w:w="455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Capturar datos personales del Notario y los incisos de la Fracc. XII aplicables (a–e)</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Notario Titular</w:t>
            </w:r>
          </w:p>
        </w:tc>
        <w:tc>
          <w:tcPr>
            <w:tcW w:type="dxa" w:w="23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Día 1</w:t>
            </w:r>
          </w:p>
        </w:tc>
      </w:tr>
      <w:tr>
        <w:tc>
          <w:tcPr>
            <w:tcW w:type="dxa" w:w="7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4</w:t>
            </w:r>
          </w:p>
        </w:tc>
        <w:tc>
          <w:tcPr>
            <w:tcW w:type="dxa" w:w="455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Capturar datos de la Notaría (número, adscripción, domicilio)</w:t>
            </w:r>
          </w:p>
        </w:tc>
        <w:tc>
          <w:tcPr>
            <w:tcW w:type="dxa" w:w="18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Notario Titular</w:t>
            </w:r>
          </w:p>
        </w:tc>
        <w:tc>
          <w:tcPr>
            <w:tcW w:type="dxa" w:w="23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Día 1</w:t>
            </w:r>
          </w:p>
        </w:tc>
      </w:tr>
      <w:tr>
        <w:tc>
          <w:tcPr>
            <w:tcW w:type="dxa" w:w="7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5</w:t>
            </w:r>
          </w:p>
        </w:tc>
        <w:tc>
          <w:tcPr>
            <w:tcW w:type="dxa" w:w="455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Adjuntar la documentación en los formatos y medios que determine la Secretaría</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Notario Titular / Enc. Operativo</w:t>
            </w:r>
          </w:p>
        </w:tc>
        <w:tc>
          <w:tcPr>
            <w:tcW w:type="dxa" w:w="23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Día 1-2</w:t>
            </w:r>
          </w:p>
        </w:tc>
      </w:tr>
      <w:tr>
        <w:tc>
          <w:tcPr>
            <w:tcW w:type="dxa" w:w="7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6</w:t>
            </w:r>
          </w:p>
        </w:tc>
        <w:tc>
          <w:tcPr>
            <w:tcW w:type="dxa" w:w="455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Firmar el envío con e.firma y obtener el acuse de recibo</w:t>
            </w:r>
          </w:p>
        </w:tc>
        <w:tc>
          <w:tcPr>
            <w:tcW w:type="dxa" w:w="18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Notario Titular</w:t>
            </w:r>
          </w:p>
        </w:tc>
        <w:tc>
          <w:tcPr>
            <w:tcW w:type="dxa" w:w="23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Día 2</w:t>
            </w:r>
          </w:p>
        </w:tc>
      </w:tr>
      <w:tr>
        <w:tc>
          <w:tcPr>
            <w:tcW w:type="dxa" w:w="7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7</w:t>
            </w:r>
          </w:p>
        </w:tc>
        <w:tc>
          <w:tcPr>
            <w:tcW w:type="dxa" w:w="455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Recibir el acuse de alta y registro con sello digital y el acceso a los medios electrónicos del Portal (art. 5 RCG)</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SAT</w:t>
            </w:r>
          </w:p>
        </w:tc>
        <w:tc>
          <w:tcPr>
            <w:tcW w:type="dxa" w:w="2300"/>
            <w:shd w:fill="FFFFFF"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Según notificación del SAT</w:t>
            </w:r>
          </w:p>
        </w:tc>
      </w:tr>
      <w:tr>
        <w:tc>
          <w:tcPr>
            <w:tcW w:type="dxa" w:w="7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8</w:t>
            </w:r>
          </w:p>
        </w:tc>
        <w:tc>
          <w:tcPr>
            <w:tcW w:type="dxa" w:w="455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Archivar constancia de registro en expediente Certus PLD</w:t>
            </w:r>
          </w:p>
        </w:tc>
        <w:tc>
          <w:tcPr>
            <w:tcW w:type="dxa" w:w="18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Enc. Operativo (D2-NOT)</w:t>
            </w:r>
          </w:p>
        </w:tc>
        <w:tc>
          <w:tcPr>
            <w:tcW w:type="dxa" w:w="2300"/>
            <w:shd w:fill="F4F4F4" w:val="clear"/>
            <w:tcMar>
              <w:top w:type="dxa" w:w="70"/>
              <w:left w:type="dxa" w:w="90"/>
              <w:bottom w:type="dxa" w:w="70"/>
              <w:right w:type="dxa" w:w="90"/>
            </w:tcMar>
            <w:vAlign w:val="center"/>
          </w:tcPr>
          <w:p>
            <w:r>
              <w:rPr>
                <w:rFonts w:ascii="Calibri" w:cs="Calibri" w:eastAsia="Calibri" w:hAnsi="Calibri"/>
                <w:b w:val="false"/>
                <w:bCs w:val="false"/>
                <w:sz w:val="19"/>
                <w:szCs w:val="19"/>
              </w:rPr>
              <w:t xml:space="preserve">Al recibir el acuse</w:t>
            </w:r>
          </w:p>
        </w:tc>
      </w:tr>
    </w:tbl>
    <w:p>
      <w:pPr>
        <w:pBdr>
          <w:bottom w:val="single" w:color="B08D57" w:sz="6" w:space="2"/>
        </w:pBdr>
        <w:spacing w:after="140" w:before="260"/>
      </w:pPr>
      <w:r>
        <w:rPr>
          <w:rFonts w:ascii="Calibri" w:cs="Calibri" w:eastAsia="Calibri" w:hAnsi="Calibri"/>
          <w:b/>
          <w:bCs/>
          <w:color w:val="1F3864"/>
          <w:sz w:val="24"/>
          <w:szCs w:val="24"/>
        </w:rPr>
        <w:t xml:space="preserve">IV. Control de registro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Fecha de ingreso al portal:</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Número de folio de solicitud:</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Fecha del acuse de alta y registro:</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Número de registro SPPLD:</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Usuario de acceso al portal (personal, no institucional):</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Clave de acceso (referencia):</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Resguardada en [ubicación segura]</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Última actualización de datos (art. 7 RCG):</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Soporte técnico Certus PLD:</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contacto@certusconsultores.com.mx │ 999 163 1363</w:t>
            </w:r>
          </w:p>
        </w:tc>
      </w:tr>
    </w:tbl>
    <w:p>
      <w:pPr>
        <w:pBdr>
          <w:bottom w:val="single" w:color="B08D57" w:sz="6" w:space="2"/>
        </w:pBdr>
        <w:spacing w:after="140" w:before="260"/>
      </w:pPr>
      <w:r>
        <w:rPr>
          <w:rFonts w:ascii="Calibri" w:cs="Calibri" w:eastAsia="Calibri" w:hAnsi="Calibri"/>
          <w:b/>
          <w:bCs/>
          <w:color w:val="1F3864"/>
          <w:sz w:val="24"/>
          <w:szCs w:val="24"/>
        </w:rPr>
        <w:t xml:space="preserve">V. Obligaciones posteriores al registro</w:t>
      </w:r>
    </w:p>
    <w:p>
      <w:pPr>
        <w:pStyle w:val="ListParagraph"/>
        <w:numPr>
          <w:ilvl w:val="0"/>
          <w:numId w:val="1"/>
        </w:numPr>
        <w:spacing w:after="60"/>
      </w:pPr>
      <w:r>
        <w:rPr>
          <w:rFonts w:ascii="Calibri" w:cs="Calibri" w:eastAsia="Calibri" w:hAnsi="Calibri"/>
          <w:sz w:val="21"/>
          <w:szCs w:val="21"/>
        </w:rPr>
        <w:t xml:space="preserve">Actualizar los datos del registro dentro de los seis días hábiles siguientes a cualquier cambio — incluidos cambio de adscripción, de domicilio o de incisos (art. 7 RCG) — y dar de baja la actividad cuando se deje de realizar (art. 8 RCG).</w:t>
      </w:r>
    </w:p>
    <w:p>
      <w:pPr>
        <w:pStyle w:val="ListParagraph"/>
        <w:numPr>
          <w:ilvl w:val="0"/>
          <w:numId w:val="1"/>
        </w:numPr>
        <w:spacing w:after="60"/>
      </w:pPr>
      <w:r>
        <w:rPr>
          <w:rFonts w:ascii="Calibri" w:cs="Calibri" w:eastAsia="Calibri" w:hAnsi="Calibri"/>
          <w:sz w:val="21"/>
          <w:szCs w:val="21"/>
        </w:rPr>
        <w:t xml:space="preserve">Consultar los medios electrónicos del Portal al menos una vez cada día hábil, para atender notificaciones y requerimientos (arts. 5 Bis y 6 RCG).</w:t>
      </w:r>
    </w:p>
    <w:p>
      <w:pPr>
        <w:pStyle w:val="ListParagraph"/>
        <w:numPr>
          <w:ilvl w:val="0"/>
          <w:numId w:val="1"/>
        </w:numPr>
        <w:spacing w:after="60"/>
      </w:pPr>
      <w:r>
        <w:rPr>
          <w:rFonts w:ascii="Calibri" w:cs="Calibri" w:eastAsia="Calibri" w:hAnsi="Calibri"/>
          <w:sz w:val="21"/>
          <w:szCs w:val="21"/>
        </w:rPr>
        <w:t xml:space="preserve">Presentar los Avisos a más tardar el día 17 del mes siguiente en el Portal (o, para el inciso a), por el medio fiscal del art. 24 si así se definió), o el informe de que no hubo actos objeto de Aviso (art. 25 RCG); y el Aviso por sospecha dentro de las 24 horas siguientes.</w:t>
      </w:r>
    </w:p>
    <w:p>
      <w:pPr>
        <w:pStyle w:val="ListParagraph"/>
        <w:numPr>
          <w:ilvl w:val="0"/>
          <w:numId w:val="1"/>
        </w:numPr>
        <w:spacing w:after="60"/>
      </w:pPr>
      <w:r>
        <w:rPr>
          <w:rFonts w:ascii="Calibri" w:cs="Calibri" w:eastAsia="Calibri" w:hAnsi="Calibri"/>
          <w:sz w:val="21"/>
          <w:szCs w:val="21"/>
        </w:rPr>
        <w:t xml:space="preserve">Conservar la constancia del registro y los acuses durante 10 años. El Manual de Políticas Internas (D5-NOT) debe estar elaborado a los noventa días naturales del alta y registro (art. 37 RCG).</w:t>
      </w:r>
    </w:p>
    <w:p>
      <w:pPr>
        <w:pStyle w:val="ListParagraph"/>
        <w:numPr>
          <w:ilvl w:val="0"/>
          <w:numId w:val="1"/>
        </w:numPr>
        <w:spacing w:after="60"/>
      </w:pPr>
      <w:r>
        <w:rPr>
          <w:rFonts w:ascii="Calibri" w:cs="Calibri" w:eastAsia="Calibri" w:hAnsi="Calibri"/>
          <w:sz w:val="21"/>
          <w:szCs w:val="21"/>
        </w:rPr>
        <w:t xml:space="preserve">Si el Colegio de Notarios de la entidad opera como Entidad Colegiada (Art. 26-27), evaluar si conviene migrar la presentación de avisos a ese conducto. [VERIFICAR disponibilidad en la entidad correspondiente.]</w:t>
      </w:r>
    </w:p>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headerReference w:type="default" r:id="rId8"/>
      <w:footerReference w:type="default" r:id="rId9"/>
      <w:headerReference w:type="first" r:id="rId10"/>
      <w:footerReference w:type="first" r:id="rId11"/>
      <w:headerReference w:type="even" r:id="rId12"/>
      <w:footerReference w:type="even" r:id="rId13"/>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2026-09-09T01:36:19.796Z</dcterms:created>
  <dcterms:modified xsi:type="dcterms:W3CDTF">2026-09-09T01:36:19.796Z</dcterms:modified>
</cp:coreProperties>
</file>

<file path=docProps/custom.xml><?xml version="1.0" encoding="utf-8"?>
<Properties xmlns="http://schemas.openxmlformats.org/officeDocument/2006/custom-properties" xmlns:vt="http://schemas.openxmlformats.org/officeDocument/2006/docPropsVTypes"/>
</file>