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D7-NOT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Expediente de Identificación y Conocimiento del Cliente (KYC)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[Denominación de la Notaría]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 secuencial]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cliente: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Persona Física    [ ] Persona Moral    [ ] Fideicomiso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apertura: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Solicitante material de la formalización (Art. 13 RCG):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Nombre: ____  Fecha de nacimiento: ____  Demás datos del Anexo 3, inc. a), num. ix) y x):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instrumento / escritura: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[Número]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EBR (D6-NOT):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</w:tbl>
    <w:p/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A: Datos de Identificación del Cliente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A.1 Persona Física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completo: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CURP: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nacimiento: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Nacionalidad: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 civil: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Soltero  [ ] Casado  [ ] Divorciado  [ ] Unión libre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Ocupación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particular: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A.2 Persona Moral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Giro / Actividad: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constitución: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escritura y notario de origen: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Domicilio fiscal / social: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Representante legal / apoderado que comparece: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Teléfono: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Correo electrónico: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B: Identificación Oficial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Credencial para votar    [ ] Pasaporte    [ ] Documento del INM (extranjero)    [ ] Otra identificación oficial vigente con fotografía y firma: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No. de documento: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vigencia: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Cotejado contra original o copia certificada por: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verificación: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C: Origen de Fondos o del Bien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Fuente principal de ingresos/bien: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Nómina  [ ] Actividad empresarial  [ ] Inversiones  [ ] Herencia  [ ] Aportación de bien propio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Documentos de soporte: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Declaración fiscal  [ ] Estados de cuenta  [ ] Contrato laboral  [ ] Escritura antecedente  [ ] Otro: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Fondos/bien propio: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(indicar fuente):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Uso de crédito bancario: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Institución: ____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D: Evaluación EBR (Metodología D6-NOT)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Nivel de riesgo asignado: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BAJO    [ ] MEDIO    [ ] ALTO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Puntuación EBR: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___ / 18 puntos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Fundamento: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[Resumir factores principales]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adicionales: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Ninguna    [ ] Verificación adicional    [ ] Debida diligencia reforzada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Perfil transaccional inicial (Art. 23 Ter 1 RCG):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Monto máximo mensual estimado: $____   Frecuencia estimada de actos: ____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Próxima reevaluación (al menos semestral):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[Fecha]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E: Beneficiario Controlador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Conforme al artículo 18, fracción III, de la Ley: si el cliente es persona moral, fideicomiso u otra figura jurídica, se recaban los documentos que permitan identificar a su beneficiario controlador, aplicando el orden de prelación del artículo 23 Quinquies de las RCG (1° quien tenga 25% o más del capital; 2° quien controle por otros medios; 3° el funcionario administrativo de mayor grado); si es persona física, se recaba la declaración acerca de si conoce o no la existencia de un beneficiario controlador y, en su caso, la documentación que permita identificarlo. No aplica en los supuestos de exención del artículo 23 Quinquies 2 de las RCG.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¿El cliente declara ser el beneficiario controlador?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del beneficiario controlador (si distinto):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 de identificación (Art. 23 Quinquies RCG):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Titularidad del 25% o más del capital  [ ] Control por otros medios  [ ] Funcionario administrativo de mayor grado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que soporta la identificación: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F: Vinculación con PEP's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cliente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 beneficiario controlador es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Familiar o asociado de PEP: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 o vínculo (si aplica):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Medidas reforzadas aplicadas: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  [ ] No — Ver Política de PEP's D8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G: Acto Notarial Celebrado (Art. 17, Fracc. XII, Apartado 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Inciso aplicable: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a) Transmisión de inmueble  [ ] b) Poder irrevocable  [ ] c) Sociedad/capital/fusión/escisión/acciones  [ ] d) Fideicomiso  [ ] e) Mutuo o crédito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del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Forma de pago: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Transferencia bancaria  [ ] Cheque  [ ] Efectivo (prohibido en inmuebles con valor de 8,025 UMA o más — Art. 32 fr. I)  [ ] Pago previo, con declaración bajo protesta (Art. 33, 2° párr.)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Requiere aviso al SAT: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Fecha de aviso: ____    [ ] No aplica (verificar: incisos b, c y e son SIEMPRE objeto de aviso)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G.1 — Si inciso a): Transmisión o constitución de derechos reales sobre inmuebles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Inmueble (descripción y ubicación):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catastral / comercial / precio pactado (el mayor):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Enajenante: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Adquirente: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G.2 — Si inciso b): Otorgamiento de poder con carácter irrevocable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Poderdante: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Apoderado: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Facultades otorgadas: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Administración  [ ] Dominio  [ ] Pleitos y cobranzas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Justificación de la irrevocabilidad: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G.3 — Si inciso c): Constitución / modificación patrimonial / fusión / escisión / compraventa de acciones o partes sociales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Denominación de la sociedad: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Socios fundadores o adquirentes (relacionar todos):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de capital social (constitución o variación):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Beneficiario controlador identificado: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Ver Sección E    [ ] Pendiente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G.4 — Si inciso d): Fideicomiso traslativo de dominio o de garantía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Fideicomitente: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Institución fiduciaria: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Fideicomisario(s):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Bien(es) fideicomitido(s):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Valor del acto: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0A1628"/>
          <w:sz w:val="19"/>
          <w:szCs w:val="19"/>
        </w:rPr>
        <w:t xml:space="preserve">G.5 — Si inciso e): Contrato de mutuo o crédito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Mutuante / acreedor: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Mutuatario / deudor: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Monto del mutuo o crédito: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                     MXN</w:t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 garantía: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— Tipo: ____    [ ] No</w:t>
            </w:r>
          </w:p>
        </w:tc>
      </w:tr>
    </w:tbl>
    <w:p>
      <w:pPr>
        <w:shd w:fill="1F3864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SECCIÓN H: Documentos Integrados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050"/>
      </w:tblGrid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Identificación oficial (copia legible):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Comprobante de domicilio: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RFC / Constancia de situación fiscal: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Instrumento notarial (escritura/acta):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Acuse de aviso SAT (si aplica):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Soporte de origen de fondos o del bien: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Identificación de la forma de pago o declaración (Art. 33):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  [ ] No aplica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Documentación de beneficiario controlador: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  <w:tr>
        <w:tc>
          <w:tcPr>
            <w:tcW w:type="dxa" w:w="53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 EBR firmada (D6-NOT):</w:t>
            </w:r>
          </w:p>
        </w:tc>
        <w:tc>
          <w:tcPr>
            <w:tcW w:type="dxa" w:w="4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Sí  [ ] No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Integró el expediente: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Cargo: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Validado por (Notario Titular):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EDEDED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Fecha de validación:</w:t>
            </w:r>
          </w:p>
        </w:tc>
        <w:tc>
          <w:tcPr>
            <w:tcW w:type="dxa" w:w="65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2026-09-09T01:19:43.114Z</dcterms:created>
  <dcterms:modified xsi:type="dcterms:W3CDTF">2026-09-09T01:19:43.114Z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