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none"/>
              <w:bottom w:val="none"/>
              <w:right w:val="none"/>
            </w:tcBorders>
            <w:tcMar>
              <w:top w:type="dxa" w:w="60"/>
              <w:left w:type="dxa" w:w="100"/>
              <w:bottom w:type="dxa" w:w="60"/>
              <w:right w:type="dxa" w:w="100"/>
            </w:tcMar>
            <w:vAlign w:val="center"/>
          </w:tcPr>
          <w:p>
            <w:r>
              <w:rPr>
                <w:rFonts w:ascii="Calibri" w:cs="Calibri" w:eastAsia="Calibri" w:hAnsi="Calibri"/>
                <w:b/>
                <w:bCs/>
                <w:color w:val="1F3864"/>
                <w:sz w:val="24"/>
                <w:szCs w:val="24"/>
              </w:rPr>
              <w:t xml:space="preserve">CERTUS PLD</w:t>
            </w:r>
            <w:r>
              <w:rPr>
                <w:rFonts w:ascii="Calibri" w:cs="Calibri" w:eastAsia="Calibri" w:hAnsi="Calibri"/>
                <w:sz w:val="22"/>
                <w:szCs w:val="22"/>
              </w:rPr>
              <w:t xml:space="preserve">   │   </w:t>
            </w:r>
            <w:r>
              <w:rPr>
                <w:rFonts w:ascii="Calibri" w:cs="Calibri" w:eastAsia="Calibri" w:hAnsi="Calibri"/>
                <w:b/>
                <w:bCs/>
                <w:sz w:val="20"/>
                <w:szCs w:val="20"/>
              </w:rPr>
              <w:t xml:space="preserve">D0-PROF Carta de Recomendaciones Urgentes en Materia PLD/FT — Servicios Profesionales</w:t>
            </w:r>
          </w:p>
          <w:p>
            <w:pPr>
              <w:spacing w:before="60"/>
            </w:pPr>
            <w:r>
              <w:rPr>
                <w:rFonts w:ascii="Calibri" w:cs="Calibri" w:eastAsia="Calibri" w:hAnsi="Calibri"/>
                <w:sz w:val="18"/>
                <w:szCs w:val="18"/>
              </w:rPr>
              <w:t xml:space="preserve">Para: [Nombre]   │   Variante: Servicios Profesionales — Fracción XI LFPIORPI</w:t>
            </w:r>
          </w:p>
        </w:tc>
      </w:tr>
    </w:tbl>
    <w:p>
      <w:pPr>
        <w:spacing w:after="100"/>
      </w:pPr>
      <w:r>
        <w:rPr>
          <w:rFonts w:ascii="Calibri" w:cs="Calibri" w:eastAsia="Calibri" w:hAnsi="Calibri"/>
          <w:sz w:val="21"/>
          <w:szCs w:val="21"/>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Para:</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[Nombre del profesional / representante del despacho]</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Profesional / Despacho: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[Nombre]</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RFC:</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[RFC]</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De:</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Certus Consultores │ Certus PLD</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Correo: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contacto@certusconsultores.com.mx │ Tel. 999 163 1363</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Fecha:</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[Ciudad, Fecha]</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Ref.:</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PLD/FT — LFPIORPI, Art. 17 Fracc. XI</w:t>
            </w:r>
          </w:p>
        </w:tc>
      </w:tr>
    </w:tbl>
    <w:p>
      <w:pPr>
        <w:spacing w:after="110" w:before="220"/>
      </w:pPr>
      <w:r>
        <w:rPr>
          <w:rFonts w:ascii="Calibri" w:cs="Calibri" w:eastAsia="Calibri" w:hAnsi="Calibri"/>
          <w:b/>
          <w:bCs/>
          <w:color w:val="1F3864"/>
          <w:sz w:val="24"/>
          <w:szCs w:val="24"/>
        </w:rPr>
        <w:t xml:space="preserve">I. Objeto de la presente</w:t>
      </w:r>
    </w:p>
    <w:p>
      <w:pPr>
        <w:spacing w:after="110"/>
      </w:pPr>
      <w:r>
        <w:rPr>
          <w:rFonts w:ascii="Calibri" w:cs="Calibri" w:eastAsia="Calibri" w:hAnsi="Calibri"/>
          <w:sz w:val="21"/>
          <w:szCs w:val="21"/>
        </w:rPr>
        <w:t xml:space="preserve">Por medio de la presente, y en ejercicio de nuestras funciones como consultores especializados en materia de Prevención de Lavado de Dinero y Financiamiento al Terrorismo (PLD/FT), nos permitimos comunicar a usted los incumplimientos identificados en el diagnóstico preliminar practicado respecto de las obligaciones previstas en la LFPIORPI, en su calidad de sujeto obligado conforme a la Fracción XI del artículo 17 — prestación independiente de servicios profesionales.</w:t>
      </w:r>
    </w:p>
    <w:p>
      <w:pPr>
        <w:spacing w:after="110" w:before="220"/>
      </w:pPr>
      <w:r>
        <w:rPr>
          <w:rFonts w:ascii="Calibri" w:cs="Calibri" w:eastAsia="Calibri" w:hAnsi="Calibri"/>
          <w:b/>
          <w:bCs/>
          <w:color w:val="1F3864"/>
          <w:sz w:val="24"/>
          <w:szCs w:val="24"/>
        </w:rPr>
        <w:t xml:space="preserve">II. Tabla de incumplimientos identificados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900"/>
        <w:gridCol w:w="2200"/>
        <w:gridCol w:w="1300"/>
      </w:tblGrid>
      <w:tr>
        <w:tc>
          <w:tcPr>
            <w:tcW w:type="dxa" w:w="500"/>
            <w:shd w:fill="D9D9D9"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No.</w:t>
            </w:r>
          </w:p>
        </w:tc>
        <w:tc>
          <w:tcPr>
            <w:tcW w:type="dxa" w:w="3600"/>
            <w:shd w:fill="D9D9D9"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Incumplimiento Detectado</w:t>
            </w:r>
          </w:p>
        </w:tc>
        <w:tc>
          <w:tcPr>
            <w:tcW w:type="dxa" w:w="1900"/>
            <w:shd w:fill="D9D9D9"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Ref. Legal</w:t>
            </w:r>
          </w:p>
        </w:tc>
        <w:tc>
          <w:tcPr>
            <w:tcW w:type="dxa" w:w="2200"/>
            <w:shd w:fill="D9D9D9"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Riesgo Sancionatorio</w:t>
            </w:r>
          </w:p>
        </w:tc>
        <w:tc>
          <w:tcPr>
            <w:tcW w:type="dxa" w:w="1300"/>
            <w:shd w:fill="D9D9D9"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Prioridad</w:t>
            </w:r>
          </w:p>
        </w:tc>
      </w:tr>
      <w:tr>
        <w:tc>
          <w:tcPr>
            <w:tcW w:type="dxa" w:w="500"/>
            <w:tcMar>
              <w:top w:type="dxa" w:w="60"/>
              <w:left w:type="dxa" w:w="100"/>
              <w:bottom w:type="dxa" w:w="60"/>
              <w:right w:type="dxa" w:w="100"/>
            </w:tcMar>
            <w:vAlign w:val="center"/>
          </w:tcPr>
          <w:p>
            <w:pPr>
              <w:spacing w:after="0"/>
            </w:pPr>
            <w:r>
              <w:rPr>
                <w:rFonts w:ascii="Calibri" w:cs="Calibri" w:eastAsia="Calibri" w:hAnsi="Calibri"/>
                <w:sz w:val="19"/>
                <w:szCs w:val="19"/>
              </w:rPr>
              <w:t xml:space="preserve">1</w:t>
            </w:r>
          </w:p>
        </w:tc>
        <w:tc>
          <w:tcPr>
            <w:tcW w:type="dxa" w:w="3600"/>
            <w:tcMar>
              <w:top w:type="dxa" w:w="60"/>
              <w:left w:type="dxa" w:w="100"/>
              <w:bottom w:type="dxa" w:w="60"/>
              <w:right w:type="dxa" w:w="100"/>
            </w:tcMar>
            <w:vAlign w:val="center"/>
          </w:tcPr>
          <w:p>
            <w:pPr>
              <w:spacing w:after="0"/>
            </w:pPr>
            <w:r>
              <w:rPr>
                <w:rFonts w:ascii="Calibri" w:cs="Calibri" w:eastAsia="Calibri" w:hAnsi="Calibri"/>
                <w:sz w:val="19"/>
                <w:szCs w:val="19"/>
              </w:rPr>
              <w:t xml:space="preserve">Omisión de registro ante el SAT (SPPLD)</w:t>
            </w:r>
          </w:p>
        </w:tc>
        <w:tc>
          <w:tcPr>
            <w:tcW w:type="dxa" w:w="1900"/>
            <w:tcMar>
              <w:top w:type="dxa" w:w="60"/>
              <w:left w:type="dxa" w:w="100"/>
              <w:bottom w:type="dxa" w:w="60"/>
              <w:right w:type="dxa" w:w="100"/>
            </w:tcMar>
            <w:vAlign w:val="center"/>
          </w:tcPr>
          <w:p>
            <w:pPr>
              <w:spacing w:after="0"/>
            </w:pPr>
            <w:r>
              <w:rPr>
                <w:rFonts w:ascii="Calibri" w:cs="Calibri" w:eastAsia="Calibri" w:hAnsi="Calibri"/>
                <w:sz w:val="19"/>
                <w:szCs w:val="19"/>
              </w:rPr>
              <w:t xml:space="preserve">Art. 18 Fracc. IV Bis; Art. 53 fr. II</w:t>
            </w:r>
          </w:p>
        </w:tc>
        <w:tc>
          <w:tcPr>
            <w:tcW w:type="dxa" w:w="2200"/>
            <w:tcMar>
              <w:top w:type="dxa" w:w="60"/>
              <w:left w:type="dxa" w:w="100"/>
              <w:bottom w:type="dxa" w:w="60"/>
              <w:right w:type="dxa" w:w="100"/>
            </w:tcMar>
            <w:vAlign w:val="center"/>
          </w:tcPr>
          <w:p>
            <w:pPr>
              <w:spacing w:after="0"/>
            </w:pPr>
            <w:r>
              <w:rPr>
                <w:rFonts w:ascii="Calibri" w:cs="Calibri" w:eastAsia="Calibri" w:hAnsi="Calibri"/>
                <w:sz w:val="19"/>
                <w:szCs w:val="19"/>
              </w:rPr>
              <w:t xml:space="preserve">200 a 2,000 UMA</w:t>
            </w:r>
          </w:p>
        </w:tc>
        <w:tc>
          <w:tcPr>
            <w:tcW w:type="dxa" w:w="1300"/>
            <w:tcMar>
              <w:top w:type="dxa" w:w="60"/>
              <w:left w:type="dxa" w:w="100"/>
              <w:bottom w:type="dxa" w:w="60"/>
              <w:right w:type="dxa" w:w="100"/>
            </w:tcMar>
            <w:vAlign w:val="center"/>
          </w:tcPr>
          <w:p>
            <w:pPr>
              <w:spacing w:after="0"/>
            </w:pPr>
            <w:r>
              <w:rPr>
                <w:rFonts w:ascii="Calibri" w:cs="Calibri" w:eastAsia="Calibri" w:hAnsi="Calibri"/>
                <w:sz w:val="19"/>
                <w:szCs w:val="19"/>
              </w:rPr>
              <w:t xml:space="preserve">CRÍTICO</w:t>
            </w:r>
          </w:p>
        </w:tc>
      </w:tr>
      <w:tr>
        <w:tc>
          <w:tcPr>
            <w:tcW w:type="dxa" w:w="500"/>
            <w:tcMar>
              <w:top w:type="dxa" w:w="60"/>
              <w:left w:type="dxa" w:w="100"/>
              <w:bottom w:type="dxa" w:w="60"/>
              <w:right w:type="dxa" w:w="100"/>
            </w:tcMar>
            <w:vAlign w:val="center"/>
          </w:tcPr>
          <w:p>
            <w:pPr>
              <w:spacing w:after="0"/>
            </w:pPr>
            <w:r>
              <w:rPr>
                <w:rFonts w:ascii="Calibri" w:cs="Calibri" w:eastAsia="Calibri" w:hAnsi="Calibri"/>
                <w:sz w:val="19"/>
                <w:szCs w:val="19"/>
              </w:rPr>
              <w:t xml:space="preserve">2</w:t>
            </w:r>
          </w:p>
        </w:tc>
        <w:tc>
          <w:tcPr>
            <w:tcW w:type="dxa" w:w="3600"/>
            <w:tcMar>
              <w:top w:type="dxa" w:w="60"/>
              <w:left w:type="dxa" w:w="100"/>
              <w:bottom w:type="dxa" w:w="60"/>
              <w:right w:type="dxa" w:w="100"/>
            </w:tcMar>
            <w:vAlign w:val="center"/>
          </w:tcPr>
          <w:p>
            <w:pPr>
              <w:spacing w:after="0"/>
            </w:pPr>
            <w:r>
              <w:rPr>
                <w:rFonts w:ascii="Calibri" w:cs="Calibri" w:eastAsia="Calibri" w:hAnsi="Calibri"/>
                <w:sz w:val="19"/>
                <w:szCs w:val="19"/>
              </w:rPr>
              <w:t xml:space="preserve">Sin Representante de Cumplimiento (despacho) o Constancia de Asunción Personal (profesional PF) — D2-PROF</w:t>
            </w:r>
          </w:p>
        </w:tc>
        <w:tc>
          <w:tcPr>
            <w:tcW w:type="dxa" w:w="1900"/>
            <w:tcMar>
              <w:top w:type="dxa" w:w="60"/>
              <w:left w:type="dxa" w:w="100"/>
              <w:bottom w:type="dxa" w:w="60"/>
              <w:right w:type="dxa" w:w="100"/>
            </w:tcMar>
            <w:vAlign w:val="center"/>
          </w:tcPr>
          <w:p>
            <w:pPr>
              <w:spacing w:after="0"/>
            </w:pPr>
            <w:r>
              <w:rPr>
                <w:rFonts w:ascii="Calibri" w:cs="Calibri" w:eastAsia="Calibri" w:hAnsi="Calibri"/>
                <w:sz w:val="19"/>
                <w:szCs w:val="19"/>
              </w:rPr>
              <w:t xml:space="preserve">Art. 20</w:t>
            </w:r>
          </w:p>
        </w:tc>
        <w:tc>
          <w:tcPr>
            <w:tcW w:type="dxa" w:w="2200"/>
            <w:tcMar>
              <w:top w:type="dxa" w:w="60"/>
              <w:left w:type="dxa" w:w="100"/>
              <w:bottom w:type="dxa" w:w="60"/>
              <w:right w:type="dxa" w:w="100"/>
            </w:tcMar>
            <w:vAlign w:val="center"/>
          </w:tcPr>
          <w:p>
            <w:pPr>
              <w:spacing w:after="0"/>
            </w:pPr>
            <w:r>
              <w:rPr>
                <w:rFonts w:ascii="Calibri" w:cs="Calibri" w:eastAsia="Calibri" w:hAnsi="Calibri"/>
                <w:sz w:val="19"/>
                <w:szCs w:val="19"/>
              </w:rPr>
              <w:t xml:space="preserve">Base para todo lo demás</w:t>
            </w:r>
          </w:p>
        </w:tc>
        <w:tc>
          <w:tcPr>
            <w:tcW w:type="dxa" w:w="1300"/>
            <w:tcMar>
              <w:top w:type="dxa" w:w="60"/>
              <w:left w:type="dxa" w:w="100"/>
              <w:bottom w:type="dxa" w:w="60"/>
              <w:right w:type="dxa" w:w="100"/>
            </w:tcMar>
            <w:vAlign w:val="center"/>
          </w:tcPr>
          <w:p>
            <w:pPr>
              <w:spacing w:after="0"/>
            </w:pPr>
            <w:r>
              <w:rPr>
                <w:rFonts w:ascii="Calibri" w:cs="Calibri" w:eastAsia="Calibri" w:hAnsi="Calibri"/>
                <w:sz w:val="19"/>
                <w:szCs w:val="19"/>
              </w:rPr>
              <w:t xml:space="preserve">CRÍTICO</w:t>
            </w:r>
          </w:p>
        </w:tc>
      </w:tr>
      <w:tr>
        <w:tc>
          <w:tcPr>
            <w:tcW w:type="dxa" w:w="500"/>
            <w:tcMar>
              <w:top w:type="dxa" w:w="60"/>
              <w:left w:type="dxa" w:w="100"/>
              <w:bottom w:type="dxa" w:w="60"/>
              <w:right w:type="dxa" w:w="100"/>
            </w:tcMar>
            <w:vAlign w:val="center"/>
          </w:tcPr>
          <w:p>
            <w:pPr>
              <w:spacing w:after="0"/>
            </w:pPr>
            <w:r>
              <w:rPr>
                <w:rFonts w:ascii="Calibri" w:cs="Calibri" w:eastAsia="Calibri" w:hAnsi="Calibri"/>
                <w:sz w:val="19"/>
                <w:szCs w:val="19"/>
              </w:rPr>
              <w:t xml:space="preserve">3</w:t>
            </w:r>
          </w:p>
        </w:tc>
        <w:tc>
          <w:tcPr>
            <w:tcW w:type="dxa" w:w="3600"/>
            <w:tcMar>
              <w:top w:type="dxa" w:w="60"/>
              <w:left w:type="dxa" w:w="100"/>
              <w:bottom w:type="dxa" w:w="60"/>
              <w:right w:type="dxa" w:w="100"/>
            </w:tcMar>
            <w:vAlign w:val="center"/>
          </w:tcPr>
          <w:p>
            <w:pPr>
              <w:spacing w:after="0"/>
            </w:pPr>
            <w:r>
              <w:rPr>
                <w:rFonts w:ascii="Calibri" w:cs="Calibri" w:eastAsia="Calibri" w:hAnsi="Calibri"/>
                <w:sz w:val="19"/>
                <w:szCs w:val="19"/>
              </w:rPr>
              <w:t xml:space="preserve">Ausencia de Manual de Cumplimiento PLD/FT — D5-PROF</w:t>
            </w:r>
          </w:p>
        </w:tc>
        <w:tc>
          <w:tcPr>
            <w:tcW w:type="dxa" w:w="1900"/>
            <w:tcMar>
              <w:top w:type="dxa" w:w="60"/>
              <w:left w:type="dxa" w:w="100"/>
              <w:bottom w:type="dxa" w:w="60"/>
              <w:right w:type="dxa" w:w="100"/>
            </w:tcMar>
            <w:vAlign w:val="center"/>
          </w:tcPr>
          <w:p>
            <w:pPr>
              <w:spacing w:after="0"/>
            </w:pPr>
            <w:r>
              <w:rPr>
                <w:rFonts w:ascii="Calibri" w:cs="Calibri" w:eastAsia="Calibri" w:hAnsi="Calibri"/>
                <w:sz w:val="19"/>
                <w:szCs w:val="19"/>
              </w:rPr>
              <w:t xml:space="preserve">Art. 18 Fracc. VIII</w:t>
            </w:r>
          </w:p>
        </w:tc>
        <w:tc>
          <w:tcPr>
            <w:tcW w:type="dxa" w:w="2200"/>
            <w:tcMar>
              <w:top w:type="dxa" w:w="60"/>
              <w:left w:type="dxa" w:w="100"/>
              <w:bottom w:type="dxa" w:w="60"/>
              <w:right w:type="dxa" w:w="100"/>
            </w:tcMar>
            <w:vAlign w:val="center"/>
          </w:tcPr>
          <w:p>
            <w:pPr>
              <w:spacing w:after="0"/>
            </w:pPr>
            <w:r>
              <w:rPr>
                <w:rFonts w:ascii="Calibri" w:cs="Calibri" w:eastAsia="Calibri" w:hAnsi="Calibri"/>
                <w:sz w:val="19"/>
                <w:szCs w:val="19"/>
              </w:rPr>
              <w:t xml:space="preserve">200 a 2,000 UMA</w:t>
            </w:r>
          </w:p>
        </w:tc>
        <w:tc>
          <w:tcPr>
            <w:tcW w:type="dxa" w:w="1300"/>
            <w:tcMar>
              <w:top w:type="dxa" w:w="60"/>
              <w:left w:type="dxa" w:w="100"/>
              <w:bottom w:type="dxa" w:w="60"/>
              <w:right w:type="dxa" w:w="100"/>
            </w:tcMar>
            <w:vAlign w:val="center"/>
          </w:tcPr>
          <w:p>
            <w:pPr>
              <w:spacing w:after="0"/>
            </w:pPr>
            <w:r>
              <w:rPr>
                <w:rFonts w:ascii="Calibri" w:cs="Calibri" w:eastAsia="Calibri" w:hAnsi="Calibri"/>
                <w:sz w:val="19"/>
                <w:szCs w:val="19"/>
              </w:rPr>
              <w:t xml:space="preserve">ALTO</w:t>
            </w:r>
          </w:p>
        </w:tc>
      </w:tr>
      <w:tr>
        <w:tc>
          <w:tcPr>
            <w:tcW w:type="dxa" w:w="500"/>
            <w:tcMar>
              <w:top w:type="dxa" w:w="60"/>
              <w:left w:type="dxa" w:w="100"/>
              <w:bottom w:type="dxa" w:w="60"/>
              <w:right w:type="dxa" w:w="100"/>
            </w:tcMar>
            <w:vAlign w:val="center"/>
          </w:tcPr>
          <w:p>
            <w:pPr>
              <w:spacing w:after="0"/>
            </w:pPr>
            <w:r>
              <w:rPr>
                <w:rFonts w:ascii="Calibri" w:cs="Calibri" w:eastAsia="Calibri" w:hAnsi="Calibri"/>
                <w:sz w:val="19"/>
                <w:szCs w:val="19"/>
              </w:rPr>
              <w:t xml:space="preserve">4</w:t>
            </w:r>
          </w:p>
        </w:tc>
        <w:tc>
          <w:tcPr>
            <w:tcW w:type="dxa" w:w="3600"/>
            <w:tcMar>
              <w:top w:type="dxa" w:w="60"/>
              <w:left w:type="dxa" w:w="100"/>
              <w:bottom w:type="dxa" w:w="60"/>
              <w:right w:type="dxa" w:w="100"/>
            </w:tcMar>
            <w:vAlign w:val="center"/>
          </w:tcPr>
          <w:p>
            <w:pPr>
              <w:spacing w:after="0"/>
            </w:pPr>
            <w:r>
              <w:rPr>
                <w:rFonts w:ascii="Calibri" w:cs="Calibri" w:eastAsia="Calibri" w:hAnsi="Calibri"/>
                <w:sz w:val="19"/>
                <w:szCs w:val="19"/>
              </w:rPr>
              <w:t xml:space="preserve">Sin expedientes KYC de clientes actuales — D7-PROF</w:t>
            </w:r>
          </w:p>
        </w:tc>
        <w:tc>
          <w:tcPr>
            <w:tcW w:type="dxa" w:w="1900"/>
            <w:tcMar>
              <w:top w:type="dxa" w:w="60"/>
              <w:left w:type="dxa" w:w="100"/>
              <w:bottom w:type="dxa" w:w="60"/>
              <w:right w:type="dxa" w:w="100"/>
            </w:tcMar>
            <w:vAlign w:val="center"/>
          </w:tcPr>
          <w:p>
            <w:pPr>
              <w:spacing w:after="0"/>
            </w:pPr>
            <w:r>
              <w:rPr>
                <w:rFonts w:ascii="Calibri" w:cs="Calibri" w:eastAsia="Calibri" w:hAnsi="Calibri"/>
                <w:sz w:val="19"/>
                <w:szCs w:val="19"/>
              </w:rPr>
              <w:t xml:space="preserve">Art. 18 Fracc. I-III</w:t>
            </w:r>
          </w:p>
        </w:tc>
        <w:tc>
          <w:tcPr>
            <w:tcW w:type="dxa" w:w="2200"/>
            <w:tcMar>
              <w:top w:type="dxa" w:w="60"/>
              <w:left w:type="dxa" w:w="100"/>
              <w:bottom w:type="dxa" w:w="60"/>
              <w:right w:type="dxa" w:w="100"/>
            </w:tcMar>
            <w:vAlign w:val="center"/>
          </w:tcPr>
          <w:p>
            <w:pPr>
              <w:spacing w:after="0"/>
            </w:pPr>
            <w:r>
              <w:rPr>
                <w:rFonts w:ascii="Calibri" w:cs="Calibri" w:eastAsia="Calibri" w:hAnsi="Calibri"/>
                <w:sz w:val="19"/>
                <w:szCs w:val="19"/>
              </w:rPr>
              <w:t xml:space="preserve">200 a 2,000 UMA</w:t>
            </w:r>
          </w:p>
        </w:tc>
        <w:tc>
          <w:tcPr>
            <w:tcW w:type="dxa" w:w="1300"/>
            <w:tcMar>
              <w:top w:type="dxa" w:w="60"/>
              <w:left w:type="dxa" w:w="100"/>
              <w:bottom w:type="dxa" w:w="60"/>
              <w:right w:type="dxa" w:w="100"/>
            </w:tcMar>
            <w:vAlign w:val="center"/>
          </w:tcPr>
          <w:p>
            <w:pPr>
              <w:spacing w:after="0"/>
            </w:pPr>
            <w:r>
              <w:rPr>
                <w:rFonts w:ascii="Calibri" w:cs="Calibri" w:eastAsia="Calibri" w:hAnsi="Calibri"/>
                <w:sz w:val="19"/>
                <w:szCs w:val="19"/>
              </w:rPr>
              <w:t xml:space="preserve">ALTO</w:t>
            </w:r>
          </w:p>
        </w:tc>
      </w:tr>
      <w:tr>
        <w:tc>
          <w:tcPr>
            <w:tcW w:type="dxa" w:w="500"/>
            <w:tcMar>
              <w:top w:type="dxa" w:w="60"/>
              <w:left w:type="dxa" w:w="100"/>
              <w:bottom w:type="dxa" w:w="60"/>
              <w:right w:type="dxa" w:w="100"/>
            </w:tcMar>
            <w:vAlign w:val="center"/>
          </w:tcPr>
          <w:p>
            <w:pPr>
              <w:spacing w:after="0"/>
            </w:pPr>
            <w:r>
              <w:rPr>
                <w:rFonts w:ascii="Calibri" w:cs="Calibri" w:eastAsia="Calibri" w:hAnsi="Calibri"/>
                <w:sz w:val="19"/>
                <w:szCs w:val="19"/>
              </w:rPr>
              <w:t xml:space="preserve">5</w:t>
            </w:r>
          </w:p>
        </w:tc>
        <w:tc>
          <w:tcPr>
            <w:tcW w:type="dxa" w:w="3600"/>
            <w:tcMar>
              <w:top w:type="dxa" w:w="60"/>
              <w:left w:type="dxa" w:w="100"/>
              <w:bottom w:type="dxa" w:w="60"/>
              <w:right w:type="dxa" w:w="100"/>
            </w:tcMar>
            <w:vAlign w:val="center"/>
          </w:tcPr>
          <w:p>
            <w:pPr>
              <w:spacing w:after="0"/>
            </w:pPr>
            <w:r>
              <w:rPr>
                <w:rFonts w:ascii="Calibri" w:cs="Calibri" w:eastAsia="Calibri" w:hAnsi="Calibri"/>
                <w:sz w:val="19"/>
                <w:szCs w:val="19"/>
              </w:rPr>
              <w:t xml:space="preserve">Sin Metodología EBR — D6-PROF</w:t>
            </w:r>
          </w:p>
        </w:tc>
        <w:tc>
          <w:tcPr>
            <w:tcW w:type="dxa" w:w="1900"/>
            <w:tcMar>
              <w:top w:type="dxa" w:w="60"/>
              <w:left w:type="dxa" w:w="100"/>
              <w:bottom w:type="dxa" w:w="60"/>
              <w:right w:type="dxa" w:w="100"/>
            </w:tcMar>
            <w:vAlign w:val="center"/>
          </w:tcPr>
          <w:p>
            <w:pPr>
              <w:spacing w:after="0"/>
            </w:pPr>
            <w:r>
              <w:rPr>
                <w:rFonts w:ascii="Calibri" w:cs="Calibri" w:eastAsia="Calibri" w:hAnsi="Calibri"/>
                <w:sz w:val="19"/>
                <w:szCs w:val="19"/>
              </w:rPr>
              <w:t xml:space="preserve">Art. 18 Fracc. VII</w:t>
            </w:r>
          </w:p>
        </w:tc>
        <w:tc>
          <w:tcPr>
            <w:tcW w:type="dxa" w:w="2200"/>
            <w:tcMar>
              <w:top w:type="dxa" w:w="60"/>
              <w:left w:type="dxa" w:w="100"/>
              <w:bottom w:type="dxa" w:w="60"/>
              <w:right w:type="dxa" w:w="100"/>
            </w:tcMar>
            <w:vAlign w:val="center"/>
          </w:tcPr>
          <w:p>
            <w:pPr>
              <w:spacing w:after="0"/>
            </w:pPr>
            <w:r>
              <w:rPr>
                <w:rFonts w:ascii="Calibri" w:cs="Calibri" w:eastAsia="Calibri" w:hAnsi="Calibri"/>
                <w:sz w:val="19"/>
                <w:szCs w:val="19"/>
              </w:rPr>
              <w:t xml:space="preserve">200 a 2,000 UMA</w:t>
            </w:r>
          </w:p>
        </w:tc>
        <w:tc>
          <w:tcPr>
            <w:tcW w:type="dxa" w:w="1300"/>
            <w:tcMar>
              <w:top w:type="dxa" w:w="60"/>
              <w:left w:type="dxa" w:w="100"/>
              <w:bottom w:type="dxa" w:w="60"/>
              <w:right w:type="dxa" w:w="100"/>
            </w:tcMar>
            <w:vAlign w:val="center"/>
          </w:tcPr>
          <w:p>
            <w:pPr>
              <w:spacing w:after="0"/>
            </w:pPr>
            <w:r>
              <w:rPr>
                <w:rFonts w:ascii="Calibri" w:cs="Calibri" w:eastAsia="Calibri" w:hAnsi="Calibri"/>
                <w:sz w:val="19"/>
                <w:szCs w:val="19"/>
              </w:rPr>
              <w:t xml:space="preserve">ALTO</w:t>
            </w:r>
          </w:p>
        </w:tc>
      </w:tr>
      <w:tr>
        <w:tc>
          <w:tcPr>
            <w:tcW w:type="dxa" w:w="500"/>
            <w:tcMar>
              <w:top w:type="dxa" w:w="60"/>
              <w:left w:type="dxa" w:w="100"/>
              <w:bottom w:type="dxa" w:w="60"/>
              <w:right w:type="dxa" w:w="100"/>
            </w:tcMar>
            <w:vAlign w:val="center"/>
          </w:tcPr>
          <w:p>
            <w:pPr>
              <w:spacing w:after="0"/>
            </w:pPr>
            <w:r>
              <w:rPr>
                <w:rFonts w:ascii="Calibri" w:cs="Calibri" w:eastAsia="Calibri" w:hAnsi="Calibri"/>
                <w:sz w:val="19"/>
                <w:szCs w:val="19"/>
              </w:rPr>
              <w:t xml:space="preserve">6</w:t>
            </w:r>
          </w:p>
        </w:tc>
        <w:tc>
          <w:tcPr>
            <w:tcW w:type="dxa" w:w="3600"/>
            <w:tcMar>
              <w:top w:type="dxa" w:w="60"/>
              <w:left w:type="dxa" w:w="100"/>
              <w:bottom w:type="dxa" w:w="60"/>
              <w:right w:type="dxa" w:w="100"/>
            </w:tcMar>
            <w:vAlign w:val="center"/>
          </w:tcPr>
          <w:p>
            <w:pPr>
              <w:spacing w:after="0"/>
            </w:pPr>
            <w:r>
              <w:rPr>
                <w:rFonts w:ascii="Calibri" w:cs="Calibri" w:eastAsia="Calibri" w:hAnsi="Calibri"/>
                <w:sz w:val="19"/>
                <w:szCs w:val="19"/>
              </w:rPr>
              <w:t xml:space="preserve">Sin Política de PEP's — D8-PROF</w:t>
            </w:r>
          </w:p>
        </w:tc>
        <w:tc>
          <w:tcPr>
            <w:tcW w:type="dxa" w:w="1900"/>
            <w:tcMar>
              <w:top w:type="dxa" w:w="60"/>
              <w:left w:type="dxa" w:w="100"/>
              <w:bottom w:type="dxa" w:w="60"/>
              <w:right w:type="dxa" w:w="100"/>
            </w:tcMar>
            <w:vAlign w:val="center"/>
          </w:tcPr>
          <w:p>
            <w:pPr>
              <w:spacing w:after="0"/>
            </w:pPr>
            <w:r>
              <w:rPr>
                <w:rFonts w:ascii="Calibri" w:cs="Calibri" w:eastAsia="Calibri" w:hAnsi="Calibri"/>
                <w:sz w:val="19"/>
                <w:szCs w:val="19"/>
              </w:rPr>
              <w:t xml:space="preserve">Art. 18 Fracc. VIII</w:t>
            </w:r>
          </w:p>
        </w:tc>
        <w:tc>
          <w:tcPr>
            <w:tcW w:type="dxa" w:w="2200"/>
            <w:tcMar>
              <w:top w:type="dxa" w:w="60"/>
              <w:left w:type="dxa" w:w="100"/>
              <w:bottom w:type="dxa" w:w="60"/>
              <w:right w:type="dxa" w:w="100"/>
            </w:tcMar>
            <w:vAlign w:val="center"/>
          </w:tcPr>
          <w:p>
            <w:pPr>
              <w:spacing w:after="0"/>
            </w:pPr>
            <w:r>
              <w:rPr>
                <w:rFonts w:ascii="Calibri" w:cs="Calibri" w:eastAsia="Calibri" w:hAnsi="Calibri"/>
                <w:sz w:val="19"/>
                <w:szCs w:val="19"/>
              </w:rPr>
              <w:t xml:space="preserve">200 a 2,000 UMA</w:t>
            </w:r>
          </w:p>
        </w:tc>
        <w:tc>
          <w:tcPr>
            <w:tcW w:type="dxa" w:w="1300"/>
            <w:tcMar>
              <w:top w:type="dxa" w:w="60"/>
              <w:left w:type="dxa" w:w="100"/>
              <w:bottom w:type="dxa" w:w="60"/>
              <w:right w:type="dxa" w:w="100"/>
            </w:tcMar>
            <w:vAlign w:val="center"/>
          </w:tcPr>
          <w:p>
            <w:pPr>
              <w:spacing w:after="0"/>
            </w:pPr>
            <w:r>
              <w:rPr>
                <w:rFonts w:ascii="Calibri" w:cs="Calibri" w:eastAsia="Calibri" w:hAnsi="Calibri"/>
                <w:sz w:val="19"/>
                <w:szCs w:val="19"/>
              </w:rPr>
              <w:t xml:space="preserve">ALTO</w:t>
            </w:r>
          </w:p>
        </w:tc>
      </w:tr>
      <w:tr>
        <w:tc>
          <w:tcPr>
            <w:tcW w:type="dxa" w:w="500"/>
            <w:tcMar>
              <w:top w:type="dxa" w:w="60"/>
              <w:left w:type="dxa" w:w="100"/>
              <w:bottom w:type="dxa" w:w="60"/>
              <w:right w:type="dxa" w:w="100"/>
            </w:tcMar>
            <w:vAlign w:val="center"/>
          </w:tcPr>
          <w:p>
            <w:pPr>
              <w:spacing w:after="0"/>
            </w:pPr>
            <w:r>
              <w:rPr>
                <w:rFonts w:ascii="Calibri" w:cs="Calibri" w:eastAsia="Calibri" w:hAnsi="Calibri"/>
                <w:sz w:val="19"/>
                <w:szCs w:val="19"/>
              </w:rPr>
              <w:t xml:space="preserve">7</w:t>
            </w:r>
          </w:p>
        </w:tc>
        <w:tc>
          <w:tcPr>
            <w:tcW w:type="dxa" w:w="3600"/>
            <w:tcMar>
              <w:top w:type="dxa" w:w="60"/>
              <w:left w:type="dxa" w:w="100"/>
              <w:bottom w:type="dxa" w:w="60"/>
              <w:right w:type="dxa" w:w="100"/>
            </w:tcMar>
            <w:vAlign w:val="center"/>
          </w:tcPr>
          <w:p>
            <w:pPr>
              <w:spacing w:after="0"/>
            </w:pPr>
            <w:r>
              <w:rPr>
                <w:rFonts w:ascii="Calibri" w:cs="Calibri" w:eastAsia="Calibri" w:hAnsi="Calibri"/>
                <w:sz w:val="19"/>
                <w:szCs w:val="19"/>
              </w:rPr>
              <w:t xml:space="preserve">Avisos omitidos en operaciones donde el profesional actuó en nombre y representación del cliente</w:t>
            </w:r>
          </w:p>
        </w:tc>
        <w:tc>
          <w:tcPr>
            <w:tcW w:type="dxa" w:w="1900"/>
            <w:tcMar>
              <w:top w:type="dxa" w:w="60"/>
              <w:left w:type="dxa" w:w="100"/>
              <w:bottom w:type="dxa" w:w="60"/>
              <w:right w:type="dxa" w:w="100"/>
            </w:tcMar>
            <w:vAlign w:val="center"/>
          </w:tcPr>
          <w:p>
            <w:pPr>
              <w:spacing w:after="0"/>
            </w:pPr>
            <w:r>
              <w:rPr>
                <w:rFonts w:ascii="Calibri" w:cs="Calibri" w:eastAsia="Calibri" w:hAnsi="Calibri"/>
                <w:sz w:val="19"/>
                <w:szCs w:val="19"/>
              </w:rPr>
              <w:t xml:space="preserve">Art. 17 Fracc. XI; Art. 53 fr. VI</w:t>
            </w:r>
          </w:p>
        </w:tc>
        <w:tc>
          <w:tcPr>
            <w:tcW w:type="dxa" w:w="2200"/>
            <w:tcMar>
              <w:top w:type="dxa" w:w="60"/>
              <w:left w:type="dxa" w:w="100"/>
              <w:bottom w:type="dxa" w:w="60"/>
              <w:right w:type="dxa" w:w="100"/>
            </w:tcMar>
            <w:vAlign w:val="center"/>
          </w:tcPr>
          <w:p>
            <w:pPr>
              <w:spacing w:after="0"/>
            </w:pPr>
            <w:r>
              <w:rPr>
                <w:rFonts w:ascii="Calibri" w:cs="Calibri" w:eastAsia="Calibri" w:hAnsi="Calibri"/>
                <w:sz w:val="19"/>
                <w:szCs w:val="19"/>
              </w:rPr>
              <w:t xml:space="preserve">10,000 a 65,000 UMA o 10% a 100% del valor de la operación</w:t>
            </w:r>
          </w:p>
        </w:tc>
        <w:tc>
          <w:tcPr>
            <w:tcW w:type="dxa" w:w="1300"/>
            <w:tcMar>
              <w:top w:type="dxa" w:w="60"/>
              <w:left w:type="dxa" w:w="100"/>
              <w:bottom w:type="dxa" w:w="60"/>
              <w:right w:type="dxa" w:w="100"/>
            </w:tcMar>
            <w:vAlign w:val="center"/>
          </w:tcPr>
          <w:p>
            <w:pPr>
              <w:spacing w:after="0"/>
            </w:pPr>
            <w:r>
              <w:rPr>
                <w:rFonts w:ascii="Calibri" w:cs="Calibri" w:eastAsia="Calibri" w:hAnsi="Calibri"/>
                <w:sz w:val="19"/>
                <w:szCs w:val="19"/>
              </w:rPr>
              <w:t xml:space="preserve">CRÍTICO</w:t>
            </w:r>
          </w:p>
        </w:tc>
      </w:tr>
      <w:tr>
        <w:tc>
          <w:tcPr>
            <w:tcW w:type="dxa" w:w="500"/>
            <w:tcMar>
              <w:top w:type="dxa" w:w="60"/>
              <w:left w:type="dxa" w:w="100"/>
              <w:bottom w:type="dxa" w:w="60"/>
              <w:right w:type="dxa" w:w="100"/>
            </w:tcMar>
            <w:vAlign w:val="center"/>
          </w:tcPr>
          <w:p>
            <w:pPr>
              <w:spacing w:after="0"/>
            </w:pPr>
            <w:r>
              <w:rPr>
                <w:rFonts w:ascii="Calibri" w:cs="Calibri" w:eastAsia="Calibri" w:hAnsi="Calibri"/>
                <w:sz w:val="19"/>
                <w:szCs w:val="19"/>
              </w:rPr>
              <w:t xml:space="preserve">8</w:t>
            </w:r>
          </w:p>
        </w:tc>
        <w:tc>
          <w:tcPr>
            <w:tcW w:type="dxa" w:w="3600"/>
            <w:tcMar>
              <w:top w:type="dxa" w:w="60"/>
              <w:left w:type="dxa" w:w="100"/>
              <w:bottom w:type="dxa" w:w="60"/>
              <w:right w:type="dxa" w:w="100"/>
            </w:tcMar>
            <w:vAlign w:val="center"/>
          </w:tcPr>
          <w:p>
            <w:pPr>
              <w:spacing w:after="0"/>
            </w:pPr>
            <w:r>
              <w:rPr>
                <w:rFonts w:ascii="Calibri" w:cs="Calibri" w:eastAsia="Calibri" w:hAnsi="Calibri"/>
                <w:sz w:val="19"/>
                <w:szCs w:val="19"/>
              </w:rPr>
              <w:t xml:space="preserve">Sin programa anual de capacitación — D11-PROF</w:t>
            </w:r>
          </w:p>
        </w:tc>
        <w:tc>
          <w:tcPr>
            <w:tcW w:type="dxa" w:w="1900"/>
            <w:tcMar>
              <w:top w:type="dxa" w:w="60"/>
              <w:left w:type="dxa" w:w="100"/>
              <w:bottom w:type="dxa" w:w="60"/>
              <w:right w:type="dxa" w:w="100"/>
            </w:tcMar>
            <w:vAlign w:val="center"/>
          </w:tcPr>
          <w:p>
            <w:pPr>
              <w:spacing w:after="0"/>
            </w:pPr>
            <w:r>
              <w:rPr>
                <w:rFonts w:ascii="Calibri" w:cs="Calibri" w:eastAsia="Calibri" w:hAnsi="Calibri"/>
                <w:sz w:val="19"/>
                <w:szCs w:val="19"/>
              </w:rPr>
              <w:t xml:space="preserve">Art. 18 Fracc. IX</w:t>
            </w:r>
          </w:p>
        </w:tc>
        <w:tc>
          <w:tcPr>
            <w:tcW w:type="dxa" w:w="2200"/>
            <w:tcMar>
              <w:top w:type="dxa" w:w="60"/>
              <w:left w:type="dxa" w:w="100"/>
              <w:bottom w:type="dxa" w:w="60"/>
              <w:right w:type="dxa" w:w="100"/>
            </w:tcMar>
            <w:vAlign w:val="center"/>
          </w:tcPr>
          <w:p>
            <w:pPr>
              <w:spacing w:after="0"/>
            </w:pPr>
            <w:r>
              <w:rPr>
                <w:rFonts w:ascii="Calibri" w:cs="Calibri" w:eastAsia="Calibri" w:hAnsi="Calibri"/>
                <w:sz w:val="19"/>
                <w:szCs w:val="19"/>
              </w:rPr>
              <w:t xml:space="preserve">200 a 2,000 UMA</w:t>
            </w:r>
          </w:p>
        </w:tc>
        <w:tc>
          <w:tcPr>
            <w:tcW w:type="dxa" w:w="1300"/>
            <w:tcMar>
              <w:top w:type="dxa" w:w="60"/>
              <w:left w:type="dxa" w:w="100"/>
              <w:bottom w:type="dxa" w:w="60"/>
              <w:right w:type="dxa" w:w="100"/>
            </w:tcMar>
            <w:vAlign w:val="center"/>
          </w:tcPr>
          <w:p>
            <w:pPr>
              <w:spacing w:after="0"/>
            </w:pPr>
            <w:r>
              <w:rPr>
                <w:rFonts w:ascii="Calibri" w:cs="Calibri" w:eastAsia="Calibri" w:hAnsi="Calibri"/>
                <w:sz w:val="19"/>
                <w:szCs w:val="19"/>
              </w:rPr>
              <w:t xml:space="preserve">MEDIO</w:t>
            </w:r>
          </w:p>
        </w:tc>
      </w:tr>
      <w:tr>
        <w:tc>
          <w:tcPr>
            <w:tcW w:type="dxa" w:w="500"/>
            <w:tcMar>
              <w:top w:type="dxa" w:w="60"/>
              <w:left w:type="dxa" w:w="100"/>
              <w:bottom w:type="dxa" w:w="60"/>
              <w:right w:type="dxa" w:w="100"/>
            </w:tcMar>
            <w:vAlign w:val="center"/>
          </w:tcPr>
          <w:p>
            <w:pPr>
              <w:spacing w:after="0"/>
            </w:pPr>
            <w:r>
              <w:rPr>
                <w:rFonts w:ascii="Calibri" w:cs="Calibri" w:eastAsia="Calibri" w:hAnsi="Calibri"/>
                <w:sz w:val="19"/>
                <w:szCs w:val="19"/>
              </w:rPr>
              <w:t xml:space="preserve">9</w:t>
            </w:r>
          </w:p>
        </w:tc>
        <w:tc>
          <w:tcPr>
            <w:tcW w:type="dxa" w:w="3600"/>
            <w:tcMar>
              <w:top w:type="dxa" w:w="60"/>
              <w:left w:type="dxa" w:w="100"/>
              <w:bottom w:type="dxa" w:w="60"/>
              <w:right w:type="dxa" w:w="100"/>
            </w:tcMar>
            <w:vAlign w:val="center"/>
          </w:tcPr>
          <w:p>
            <w:pPr>
              <w:spacing w:after="0"/>
            </w:pPr>
            <w:r>
              <w:rPr>
                <w:rFonts w:ascii="Calibri" w:cs="Calibri" w:eastAsia="Calibri" w:hAnsi="Calibri"/>
                <w:sz w:val="19"/>
                <w:szCs w:val="19"/>
              </w:rPr>
              <w:t xml:space="preserve">Sin política de resguardo documental a 10 años — D10-PROF</w:t>
            </w:r>
          </w:p>
        </w:tc>
        <w:tc>
          <w:tcPr>
            <w:tcW w:type="dxa" w:w="1900"/>
            <w:tcMar>
              <w:top w:type="dxa" w:w="60"/>
              <w:left w:type="dxa" w:w="100"/>
              <w:bottom w:type="dxa" w:w="60"/>
              <w:right w:type="dxa" w:w="100"/>
            </w:tcMar>
            <w:vAlign w:val="center"/>
          </w:tcPr>
          <w:p>
            <w:pPr>
              <w:spacing w:after="0"/>
            </w:pPr>
            <w:r>
              <w:rPr>
                <w:rFonts w:ascii="Calibri" w:cs="Calibri" w:eastAsia="Calibri" w:hAnsi="Calibri"/>
                <w:sz w:val="19"/>
                <w:szCs w:val="19"/>
              </w:rPr>
              <w:t xml:space="preserve">Art. 18 Fracc. IV</w:t>
            </w:r>
          </w:p>
        </w:tc>
        <w:tc>
          <w:tcPr>
            <w:tcW w:type="dxa" w:w="2200"/>
            <w:tcMar>
              <w:top w:type="dxa" w:w="60"/>
              <w:left w:type="dxa" w:w="100"/>
              <w:bottom w:type="dxa" w:w="60"/>
              <w:right w:type="dxa" w:w="100"/>
            </w:tcMar>
            <w:vAlign w:val="center"/>
          </w:tcPr>
          <w:p>
            <w:pPr>
              <w:spacing w:after="0"/>
            </w:pPr>
            <w:r>
              <w:rPr>
                <w:rFonts w:ascii="Calibri" w:cs="Calibri" w:eastAsia="Calibri" w:hAnsi="Calibri"/>
                <w:sz w:val="19"/>
                <w:szCs w:val="19"/>
              </w:rPr>
              <w:t xml:space="preserve">200 a 2,000 UMA</w:t>
            </w:r>
          </w:p>
        </w:tc>
        <w:tc>
          <w:tcPr>
            <w:tcW w:type="dxa" w:w="1300"/>
            <w:tcMar>
              <w:top w:type="dxa" w:w="60"/>
              <w:left w:type="dxa" w:w="100"/>
              <w:bottom w:type="dxa" w:w="60"/>
              <w:right w:type="dxa" w:w="100"/>
            </w:tcMar>
            <w:vAlign w:val="center"/>
          </w:tcPr>
          <w:p>
            <w:pPr>
              <w:spacing w:after="0"/>
            </w:pPr>
            <w:r>
              <w:rPr>
                <w:rFonts w:ascii="Calibri" w:cs="Calibri" w:eastAsia="Calibri" w:hAnsi="Calibri"/>
                <w:sz w:val="19"/>
                <w:szCs w:val="19"/>
              </w:rPr>
              <w:t xml:space="preserve">MEDIO</w:t>
            </w:r>
          </w:p>
        </w:tc>
      </w:tr>
      <w:tr>
        <w:tc>
          <w:tcPr>
            <w:tcW w:type="dxa" w:w="500"/>
            <w:tcMar>
              <w:top w:type="dxa" w:w="60"/>
              <w:left w:type="dxa" w:w="100"/>
              <w:bottom w:type="dxa" w:w="60"/>
              <w:right w:type="dxa" w:w="100"/>
            </w:tcMar>
            <w:vAlign w:val="center"/>
          </w:tcPr>
          <w:p>
            <w:pPr>
              <w:spacing w:after="0"/>
            </w:pPr>
            <w:r>
              <w:rPr>
                <w:rFonts w:ascii="Calibri" w:cs="Calibri" w:eastAsia="Calibri" w:hAnsi="Calibri"/>
                <w:sz w:val="19"/>
                <w:szCs w:val="19"/>
              </w:rPr>
              <w:t xml:space="preserve">10</w:t>
            </w:r>
          </w:p>
        </w:tc>
        <w:tc>
          <w:tcPr>
            <w:tcW w:type="dxa" w:w="3600"/>
            <w:tcMar>
              <w:top w:type="dxa" w:w="60"/>
              <w:left w:type="dxa" w:w="100"/>
              <w:bottom w:type="dxa" w:w="60"/>
              <w:right w:type="dxa" w:w="100"/>
            </w:tcMar>
            <w:vAlign w:val="center"/>
          </w:tcPr>
          <w:p>
            <w:pPr>
              <w:spacing w:after="0"/>
            </w:pPr>
            <w:r>
              <w:rPr>
                <w:rFonts w:ascii="Calibri" w:cs="Calibri" w:eastAsia="Calibri" w:hAnsi="Calibri"/>
                <w:sz w:val="19"/>
                <w:szCs w:val="19"/>
              </w:rPr>
              <w:t xml:space="preserve">Sin mecanismos automatizados de monitoreo</w:t>
            </w:r>
          </w:p>
        </w:tc>
        <w:tc>
          <w:tcPr>
            <w:tcW w:type="dxa" w:w="1900"/>
            <w:tcMar>
              <w:top w:type="dxa" w:w="60"/>
              <w:left w:type="dxa" w:w="100"/>
              <w:bottom w:type="dxa" w:w="60"/>
              <w:right w:type="dxa" w:w="100"/>
            </w:tcMar>
            <w:vAlign w:val="center"/>
          </w:tcPr>
          <w:p>
            <w:pPr>
              <w:spacing w:after="0"/>
            </w:pPr>
            <w:r>
              <w:rPr>
                <w:rFonts w:ascii="Calibri" w:cs="Calibri" w:eastAsia="Calibri" w:hAnsi="Calibri"/>
                <w:sz w:val="19"/>
                <w:szCs w:val="19"/>
              </w:rPr>
              <w:t xml:space="preserve">Art. 18 Fracc. X</w:t>
            </w:r>
          </w:p>
        </w:tc>
        <w:tc>
          <w:tcPr>
            <w:tcW w:type="dxa" w:w="2200"/>
            <w:tcMar>
              <w:top w:type="dxa" w:w="60"/>
              <w:left w:type="dxa" w:w="100"/>
              <w:bottom w:type="dxa" w:w="60"/>
              <w:right w:type="dxa" w:w="100"/>
            </w:tcMar>
            <w:vAlign w:val="center"/>
          </w:tcPr>
          <w:p>
            <w:pPr>
              <w:spacing w:after="0"/>
            </w:pPr>
            <w:r>
              <w:rPr>
                <w:rFonts w:ascii="Calibri" w:cs="Calibri" w:eastAsia="Calibri" w:hAnsi="Calibri"/>
                <w:sz w:val="19"/>
                <w:szCs w:val="19"/>
              </w:rPr>
              <w:t xml:space="preserve">200 a 2,000 UMA</w:t>
            </w:r>
          </w:p>
        </w:tc>
        <w:tc>
          <w:tcPr>
            <w:tcW w:type="dxa" w:w="1300"/>
            <w:tcMar>
              <w:top w:type="dxa" w:w="60"/>
              <w:left w:type="dxa" w:w="100"/>
              <w:bottom w:type="dxa" w:w="60"/>
              <w:right w:type="dxa" w:w="100"/>
            </w:tcMar>
            <w:vAlign w:val="center"/>
          </w:tcPr>
          <w:p>
            <w:pPr>
              <w:spacing w:after="0"/>
            </w:pPr>
            <w:r>
              <w:rPr>
                <w:rFonts w:ascii="Calibri" w:cs="Calibri" w:eastAsia="Calibri" w:hAnsi="Calibri"/>
                <w:sz w:val="19"/>
                <w:szCs w:val="19"/>
              </w:rPr>
              <w:t xml:space="preserve">MEDIO</w:t>
            </w:r>
          </w:p>
        </w:tc>
      </w:tr>
    </w:tbl>
    <w:p>
      <w:pPr>
        <w:spacing w:after="110"/>
      </w:pPr>
      <w:r>
        <w:rPr>
          <w:rFonts w:ascii="Calibri" w:cs="Calibri" w:eastAsia="Calibri" w:hAnsi="Calibri"/>
          <w:sz w:val="20"/>
          <w:szCs w:val="20"/>
        </w:rPr>
        <w:t xml:space="preserve">Nota sobre el riesgo sancionatorio. Las multas de las filas 1 a 6 y 8 a 10 son las del art. 54, fr. I, de la Ley: 200 a 2,000 UMA (con la UMA 2026 de $117.31, de $23,462 a $234,620) por incumplir las obligaciones del art. 18 (art. 53, fr. II). La fila 7 corresponde a la omisión de Avisos (art. 53, fr. VI): 10,000 a 65,000 UMA ($1,173,100 a $7,625,150) o 10% a 100% del valor de la operación, la que resulte mayor (art. 54, fr. III). La presentación extemporánea de un Aviso dentro de los 30 días siguientes al plazo se sanciona conforme al art. 54, fr. I; si excede ese plazo, se trata como omisión.</w:t>
      </w:r>
    </w:p>
    <w:p>
      <w:pPr>
        <w:spacing w:after="110" w:before="220"/>
      </w:pPr>
      <w:r>
        <w:rPr>
          <w:rFonts w:ascii="Calibri" w:cs="Calibri" w:eastAsia="Calibri" w:hAnsi="Calibri"/>
          <w:b/>
          <w:bCs/>
          <w:color w:val="1F3864"/>
          <w:sz w:val="24"/>
          <w:szCs w:val="24"/>
        </w:rPr>
        <w:t xml:space="preserve">III. Marco normativo aplicable</w:t>
      </w:r>
    </w:p>
    <w:p>
      <w:pPr>
        <w:spacing w:after="110"/>
      </w:pPr>
      <w:r>
        <w:rPr>
          <w:rFonts w:ascii="Calibri" w:cs="Calibri" w:eastAsia="Calibri" w:hAnsi="Calibri"/>
          <w:sz w:val="21"/>
          <w:szCs w:val="21"/>
        </w:rPr>
        <w:t xml:space="preserve">El profesional o despacho se ubica en el supuesto de sujeción de la LFPIORPI en la Fracción XI del artículo 17 — prestación independiente de servicios profesionales — respecto de aquellos servicios en los que se prepare para el cliente o se lleve a cabo en su nombre y representación alguna de las siguientes operaciones: a) compraventa de inmuebles o cesión de derechos; b) administración de recursos, valores o activos; c) manejo de cuentas bancarias, de ahorro o de valores; d) organización de aportaciones de capital para sociedades; o e) constitución, escisión, fusión, operación y administración de personas morales o vehículos corporativos, incluido el fideicomiso, y la compra o venta de entidades mercantiles. El Aviso ante la Secretaría solo procede cuando el prestador lleve a cabo, en nombre y representación de un cliente, una operación financiera relacionada con esos supuestos, con respeto al secreto profesional y garantía de defensa.</w:t>
      </w:r>
    </w:p>
    <w:p>
      <w:pPr>
        <w:spacing w:after="110" w:before="220"/>
      </w:pPr>
      <w:r>
        <w:rPr>
          <w:rFonts w:ascii="Calibri" w:cs="Calibri" w:eastAsia="Calibri" w:hAnsi="Calibri"/>
          <w:b/>
          <w:bCs/>
          <w:color w:val="1F3864"/>
          <w:sz w:val="24"/>
          <w:szCs w:val="24"/>
        </w:rPr>
        <w:t xml:space="preserve">IV. Un riesgo distinto al de otros sectores regulados</w:t>
      </w:r>
    </w:p>
    <w:p>
      <w:pPr>
        <w:spacing w:after="110"/>
      </w:pPr>
      <w:r>
        <w:rPr>
          <w:rFonts w:ascii="Calibri" w:cs="Calibri" w:eastAsia="Calibri" w:hAnsi="Calibri"/>
          <w:sz w:val="21"/>
          <w:szCs w:val="21"/>
        </w:rPr>
        <w:t xml:space="preserve">A diferencia del régimen inmobiliario o notarial, en la Fracción XI la exposición no depende de superar un monto: el deber de identificación se activa desde que el profesional se PREPARA para el cliente en cualquiera de los cinco supuestos, sin importar la cuantía. Esto significa que un despacho puede tener años de historial de asesoría en estas materias — constituciones de sociedades, administración de cuentas, estructuración corporativa — sin haber presentado un solo aviso, y aun así estar en incumplimiento sistemático del deber de identificación (KYC) desde el primer servicio prestado. La exposición acumulada por esta vía suele ser mayor de lo que el profesional anticipa, precisamente porque no depende de una cifra que llame la atención.</w:t>
      </w:r>
    </w:p>
    <w:p>
      <w:pPr>
        <w:spacing w:after="110"/>
      </w:pPr>
      <w:r>
        <w:rPr>
          <w:rFonts w:ascii="Calibri" w:cs="Calibri" w:eastAsia="Calibri" w:hAnsi="Calibri"/>
          <w:i/>
          <w:iCs/>
          <w:sz w:val="21"/>
          <w:szCs w:val="21"/>
        </w:rPr>
        <w:t xml:space="preserve">A diferencia de los notarios (Art. 58 LFPIORPI), la Ley no contempla un mecanismo de referencia automática a un colegio o barra profesional en caso de incumplimiento. Lo anterior no excluye las consecuencias disciplinarias que, en su caso, prevean el código de ética o el reglamento del colegio o barra al que pertenezca el profesional, que deben revisarse en lo particular.</w:t>
      </w:r>
    </w:p>
    <w:p>
      <w:pPr>
        <w:spacing w:after="110" w:before="220"/>
      </w:pPr>
      <w:r>
        <w:rPr>
          <w:rFonts w:ascii="Calibri" w:cs="Calibri" w:eastAsia="Calibri" w:hAnsi="Calibri"/>
          <w:b/>
          <w:bCs/>
          <w:color w:val="1F3864"/>
          <w:sz w:val="24"/>
          <w:szCs w:val="24"/>
        </w:rPr>
        <w:t xml:space="preserve">V. Actuación espontánea — ventana de oportunidad</w:t>
      </w:r>
    </w:p>
    <w:p>
      <w:pPr>
        <w:spacing w:after="110"/>
      </w:pPr>
      <w:r>
        <w:rPr>
          <w:rFonts w:ascii="Calibri" w:cs="Calibri" w:eastAsia="Calibri" w:hAnsi="Calibri"/>
          <w:sz w:val="21"/>
          <w:szCs w:val="21"/>
        </w:rPr>
        <w:t xml:space="preserve">Conforme al artículo 55 LFPIORPI, la Secretaría se abstiene de sancionar, por única ocasión, el total de las infracciones cuando el sujeto obligado cumple de manera espontánea y ANTES del inicio de sus facultades de verificación, y reconoce expresamente la falta dentro del plazo inicial del procedimiento de verificación. Si ya ejerció ese beneficio, la multa se reduce hasta en un 50% respecto de las infracciones que regularice de manera espontánea y previa a la verificación.</w:t>
      </w:r>
    </w:p>
    <w:p>
      <w:pPr>
        <w:spacing w:after="60"/>
      </w:pPr>
      <w:r>
        <w:rPr>
          <w:rFonts w:ascii="Calibri" w:cs="Calibri" w:eastAsia="Calibri" w:hAnsi="Calibri"/>
          <w:sz w:val="21"/>
          <w:szCs w:val="21"/>
        </w:rPr>
        <w:t xml:space="preserve"/>
      </w:r>
    </w:p>
    <w:p>
      <w:pPr>
        <w:spacing w:after="110"/>
      </w:pPr>
      <w:r>
        <w:rPr>
          <w:rFonts w:ascii="Calibri" w:cs="Calibri" w:eastAsia="Calibri" w:hAnsi="Calibri"/>
          <w:sz w:val="16"/>
          <w:szCs w:val="16"/>
        </w:rPr>
        <w:t xml:space="preserve">CERTUS CONSULTORES  |  Certus PLD  |  Mérida, Yucatán  |  999 163 1363</w:t>
      </w:r>
    </w:p>
    <w:sectPr>
      <w:pgSz w:w="12240" w:h="15840" w:orient="portrait"/>
      <w:pgMar w:top="7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2026-09-10T21:03:48.430Z</dcterms:created>
  <dcterms:modified xsi:type="dcterms:W3CDTF">2026-09-10T21:03:48.440Z</dcterms:modified>
</cp:coreProperties>
</file>

<file path=docProps/custom.xml><?xml version="1.0" encoding="utf-8"?>
<Properties xmlns="http://schemas.openxmlformats.org/officeDocument/2006/custom-properties" xmlns:vt="http://schemas.openxmlformats.org/officeDocument/2006/docPropsVTypes"/>
</file>