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none"/>
              <w:left w:val="none"/>
              <w:bottom w:val="none"/>
              <w:right w:val="none"/>
            </w:tcBorders>
            <w:tcMar>
              <w:top w:type="dxa" w:w="60"/>
              <w:left w:type="dxa" w:w="100"/>
              <w:bottom w:type="dxa" w:w="60"/>
              <w:right w:type="dxa" w:w="100"/>
            </w:tcMar>
            <w:vAlign w:val="center"/>
          </w:tcPr>
          <w:p>
            <w:pPr>
              <w:jc w:val="left"/>
            </w:pPr>
            <w:r>
              <w:rPr>
                <w:rFonts w:ascii="Calibri" w:cs="Calibri" w:eastAsia="Calibri" w:hAnsi="Calibri"/>
                <w:b/>
                <w:bCs/>
                <w:color w:val="1F3864"/>
                <w:sz w:val="24"/>
                <w:szCs w:val="24"/>
              </w:rPr>
              <w:t xml:space="preserve">CERTUS PLD</w:t>
            </w:r>
            <w:r>
              <w:rPr>
                <w:rFonts w:ascii="Calibri" w:cs="Calibri" w:eastAsia="Calibri" w:hAnsi="Calibri"/>
                <w:sz w:val="22"/>
                <w:szCs w:val="22"/>
              </w:rPr>
              <w:t xml:space="preserve">   │   </w:t>
            </w:r>
            <w:r>
              <w:rPr>
                <w:rFonts w:ascii="Calibri" w:cs="Calibri" w:eastAsia="Calibri" w:hAnsi="Calibri"/>
                <w:b/>
                <w:bCs/>
                <w:sz w:val="22"/>
                <w:szCs w:val="22"/>
              </w:rPr>
              <w:t xml:space="preserve">D1-PROF Dictamen de Sujeción Normativa PLD/FT — Servicios Profesionales Independientes</w:t>
            </w:r>
          </w:p>
          <w:p>
            <w:pPr>
              <w:spacing w:before="60"/>
            </w:pPr>
            <w:r>
              <w:rPr>
                <w:rFonts w:ascii="Calibri" w:cs="Calibri" w:eastAsia="Calibri" w:hAnsi="Calibri"/>
                <w:sz w:val="20"/>
                <w:szCs w:val="20"/>
              </w:rPr>
              <w:t xml:space="preserve">Fecha: [Fecha]   │   Profesional / Despacho: [Nombre]   │   Variante: Servicios Profesionales — Fracción XI LFPIORPI</w:t>
            </w:r>
          </w:p>
        </w:tc>
      </w:tr>
    </w:tbl>
    <w:p>
      <w:pPr>
        <w:spacing w:after="120"/>
      </w:pPr>
      <w:r>
        <w:rPr>
          <w:rFonts w:ascii="Calibri" w:cs="Calibri" w:eastAsia="Calibri" w:hAnsi="Calibri"/>
          <w:sz w:val="22"/>
          <w:szCs w:val="22"/>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c>
          <w:tcPr>
            <w:tcW w:type="dxa" w:w="28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Profesional / Despacho analizado:</w:t>
            </w:r>
          </w:p>
        </w:tc>
        <w:tc>
          <w:tcPr>
            <w:tcW w:type="dxa" w:w="67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sz w:val="22"/>
                <w:szCs w:val="22"/>
              </w:rPr>
              <w:t xml:space="preserve">[Nombre completo del profesional o denominación del despacho]</w:t>
            </w:r>
          </w:p>
        </w:tc>
      </w:tr>
      <w:tr>
        <w:tc>
          <w:tcPr>
            <w:tcW w:type="dxa" w:w="28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Tipo de sujeto obligado:</w:t>
            </w:r>
          </w:p>
        </w:tc>
        <w:tc>
          <w:tcPr>
            <w:tcW w:type="dxa" w:w="67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sz w:val="22"/>
                <w:szCs w:val="22"/>
              </w:rPr>
              <w:t xml:space="preserve">[Persona física — profesional independiente  /  Persona moral — despacho]</w:t>
            </w:r>
          </w:p>
        </w:tc>
      </w:tr>
      <w:tr>
        <w:tc>
          <w:tcPr>
            <w:tcW w:type="dxa" w:w="28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Actividad profesional:</w:t>
            </w:r>
          </w:p>
        </w:tc>
        <w:tc>
          <w:tcPr>
            <w:tcW w:type="dxa" w:w="67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sz w:val="22"/>
                <w:szCs w:val="22"/>
              </w:rPr>
              <w:t xml:space="preserve">[Abogacía / Contaduría pública / Asesoría corporativa — especificar]</w:t>
            </w:r>
          </w:p>
        </w:tc>
      </w:tr>
      <w:tr>
        <w:tc>
          <w:tcPr>
            <w:tcW w:type="dxa" w:w="28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RFC:</w:t>
            </w:r>
          </w:p>
        </w:tc>
        <w:tc>
          <w:tcPr>
            <w:tcW w:type="dxa" w:w="67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sz w:val="22"/>
                <w:szCs w:val="22"/>
              </w:rPr>
              <w:t xml:space="preserve">[RFC]</w:t>
            </w:r>
          </w:p>
        </w:tc>
      </w:tr>
      <w:tr>
        <w:tc>
          <w:tcPr>
            <w:tcW w:type="dxa" w:w="28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Elaboró:</w:t>
            </w:r>
          </w:p>
        </w:tc>
        <w:tc>
          <w:tcPr>
            <w:tcW w:type="dxa" w:w="67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sz w:val="22"/>
                <w:szCs w:val="22"/>
              </w:rPr>
              <w:t xml:space="preserve">CERTUS CONSULTORES │ Certus PLD</w:t>
            </w:r>
          </w:p>
        </w:tc>
      </w:tr>
      <w:tr>
        <w:tc>
          <w:tcPr>
            <w:tcW w:type="dxa" w:w="28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Fecha:</w:t>
            </w:r>
          </w:p>
        </w:tc>
        <w:tc>
          <w:tcPr>
            <w:tcW w:type="dxa" w:w="67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sz w:val="22"/>
                <w:szCs w:val="22"/>
              </w:rPr>
              <w:t xml:space="preserve">[Fecha]</w:t>
            </w:r>
          </w:p>
        </w:tc>
      </w:tr>
      <w:tr>
        <w:tc>
          <w:tcPr>
            <w:tcW w:type="dxa" w:w="28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Vigencia normativa:</w:t>
            </w:r>
          </w:p>
        </w:tc>
        <w:tc>
          <w:tcPr>
            <w:tcW w:type="dxa" w:w="67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sz w:val="22"/>
                <w:szCs w:val="22"/>
              </w:rPr>
              <w:t xml:space="preserve">LFPIORPI (texto vigente, sin reforma en esta fracción) — Reglamento DOF 27/03/2026 — Acuerdo 115/2026 (DOF 07/08/2026)</w:t>
            </w:r>
          </w:p>
        </w:tc>
      </w:tr>
    </w:tbl>
    <w:p>
      <w:pPr>
        <w:spacing w:after="120" w:before="240"/>
      </w:pPr>
      <w:r>
        <w:rPr>
          <w:rFonts w:ascii="Calibri" w:cs="Calibri" w:eastAsia="Calibri" w:hAnsi="Calibri"/>
          <w:b/>
          <w:bCs/>
          <w:color w:val="1F3864"/>
          <w:sz w:val="24"/>
          <w:szCs w:val="24"/>
        </w:rPr>
        <w:t xml:space="preserve">I. Antecedentes normativos</w:t>
      </w:r>
    </w:p>
    <w:p>
      <w:pPr>
        <w:spacing w:after="120"/>
      </w:pPr>
      <w:r>
        <w:rPr>
          <w:rFonts w:ascii="Calibri" w:cs="Calibri" w:eastAsia="Calibri" w:hAnsi="Calibri"/>
          <w:sz w:val="22"/>
          <w:szCs w:val="22"/>
        </w:rPr>
        <w:t xml:space="preserve">La Ley Federal para la Prevención e Identificación de Operaciones con Recursos de Procedencia Ilícita (LFPIORPI) fue publicada en el Diario Oficial de la Federación el 17 de octubre de 2012. A diferencia de las Fracciones V, V Bis, VI a X, XII, XIII, XIV, XV y XVI del artículo 17 — todas expresamente reformadas o adicionadas por el decreto publicado en el DOF el 16 de julio de 2025 — la Fracción XI, relativa a la prestación independiente de servicios profesionales, no fue objeto de reforma por ese decreto y conserva su redacción vigente desde antes de dicha reforma. El Reglamento fue reformado mediante decreto publicado en el DOF el 27 de marzo de 2026, y el Acuerdo 115/2026 (DOF 07/08/2026) modificó las Reglas de Carácter General aplicables; sin alterar el supuesto de sujeción de esta fracción, las Reglas regulan expresamente el expediente de identificación de quienes se preparan para el cliente (art. 12 Bis) y la fecha del acto u operación para contar el plazo del Aviso (art. 24 Bis, fr. VII).</w:t>
      </w:r>
    </w:p>
    <w:p>
      <w:pPr>
        <w:spacing w:after="120" w:before="240"/>
      </w:pPr>
      <w:r>
        <w:rPr>
          <w:rFonts w:ascii="Calibri" w:cs="Calibri" w:eastAsia="Calibri" w:hAnsi="Calibri"/>
          <w:b/>
          <w:bCs/>
          <w:color w:val="1F3864"/>
          <w:sz w:val="24"/>
          <w:szCs w:val="24"/>
        </w:rPr>
        <w:t xml:space="preserve">II. Sujeción — Fracción XI: Servicios Profesionales Independientes</w:t>
      </w:r>
    </w:p>
    <w:p>
      <w:pPr>
        <w:spacing w:after="100" w:before="160"/>
      </w:pPr>
      <w:r>
        <w:rPr>
          <w:rFonts w:ascii="Calibri" w:cs="Calibri" w:eastAsia="Calibri" w:hAnsi="Calibri"/>
          <w:b/>
          <w:bCs/>
          <w:sz w:val="22"/>
          <w:szCs w:val="22"/>
        </w:rPr>
        <w:t xml:space="preserve">2.1 Supuesto normativo</w:t>
      </w:r>
    </w:p>
    <w:p>
      <w:pPr>
        <w:spacing w:after="120"/>
      </w:pPr>
      <w:r>
        <w:rPr>
          <w:rFonts w:ascii="Calibri" w:cs="Calibri" w:eastAsia="Calibri" w:hAnsi="Calibri"/>
          <w:sz w:val="22"/>
          <w:szCs w:val="22"/>
        </w:rPr>
        <w:t xml:space="preserve">La Fracción XI del artículo 17 LFPIORPI sujeta la prestación de servicios profesionales, de manera independiente y sin que medie relación laboral con el cliente, en aquellos casos en que el profesional se prepare para un cliente o lleve a cabo en nombre y representación del cliente cualquiera de las siguientes operaciones:</w:t>
      </w:r>
    </w:p>
    <w:p>
      <w:pPr>
        <w:spacing w:after="80"/>
      </w:pPr>
      <w:r>
        <w:rPr>
          <w:rFonts w:ascii="Calibri" w:cs="Calibri" w:eastAsia="Calibri" w:hAnsi="Calibri"/>
          <w:sz w:val="22"/>
          <w:szCs w:val="22"/>
        </w:rPr>
        <w:t xml:space="preserve">• a) La compraventa de bienes inmuebles o la cesión de derechos sobre estos;</w:t>
      </w:r>
    </w:p>
    <w:p>
      <w:pPr>
        <w:spacing w:after="80"/>
      </w:pPr>
      <w:r>
        <w:rPr>
          <w:rFonts w:ascii="Calibri" w:cs="Calibri" w:eastAsia="Calibri" w:hAnsi="Calibri"/>
          <w:sz w:val="22"/>
          <w:szCs w:val="22"/>
        </w:rPr>
        <w:t xml:space="preserve">• b) La administración y manejo de recursos, valores o cualquier otro activo de sus clientes;</w:t>
      </w:r>
    </w:p>
    <w:p>
      <w:pPr>
        <w:spacing w:after="80"/>
      </w:pPr>
      <w:r>
        <w:rPr>
          <w:rFonts w:ascii="Calibri" w:cs="Calibri" w:eastAsia="Calibri" w:hAnsi="Calibri"/>
          <w:sz w:val="22"/>
          <w:szCs w:val="22"/>
        </w:rPr>
        <w:t xml:space="preserve">• c) El manejo de cuentas bancarias, de ahorro o de valores;</w:t>
      </w:r>
    </w:p>
    <w:p>
      <w:pPr>
        <w:spacing w:after="80"/>
      </w:pPr>
      <w:r>
        <w:rPr>
          <w:rFonts w:ascii="Calibri" w:cs="Calibri" w:eastAsia="Calibri" w:hAnsi="Calibri"/>
          <w:sz w:val="22"/>
          <w:szCs w:val="22"/>
        </w:rPr>
        <w:t xml:space="preserve">• d) La organización de aportaciones de capital o cualquier otro tipo de recursos para la constitución, operación y administración de sociedades mercantiles; o</w:t>
      </w:r>
    </w:p>
    <w:p>
      <w:pPr>
        <w:spacing w:after="80"/>
      </w:pPr>
      <w:r>
        <w:rPr>
          <w:rFonts w:ascii="Calibri" w:cs="Calibri" w:eastAsia="Calibri" w:hAnsi="Calibri"/>
          <w:sz w:val="22"/>
          <w:szCs w:val="22"/>
        </w:rPr>
        <w:t xml:space="preserve">• e) La constitución, escisión, fusión, operación y administración de personas morales o vehículos corporativos, incluido el fideicomiso, y la compra o venta de entidades mercantiles.</w:t>
      </w:r>
    </w:p>
    <w:p>
      <w:pPr>
        <w:spacing w:after="120"/>
      </w:pPr>
      <w:r>
        <w:rPr>
          <w:rFonts w:ascii="Calibri" w:cs="Calibri" w:eastAsia="Calibri" w:hAnsi="Calibri"/>
          <w:sz w:val="22"/>
          <w:szCs w:val="22"/>
        </w:rPr>
        <w:t xml:space="preserve">Esta fracción es la que típicamente sujeta a abogados, contadores y asesores corporativos que, sin relación laboral con el cliente, preparan o representan al cliente en alguna de las cinco operaciones anteriores — por ejemplo, el abogado que redacta y tramita la constitución de una sociedad, o el contador que administra cuentas bancarias del cliente.</w:t>
      </w:r>
    </w:p>
    <w:p>
      <w:pPr>
        <w:spacing w:after="100" w:before="160"/>
      </w:pPr>
      <w:r>
        <w:rPr>
          <w:rFonts w:ascii="Calibri" w:cs="Calibri" w:eastAsia="Calibri" w:hAnsi="Calibri"/>
          <w:b/>
          <w:bCs/>
          <w:sz w:val="22"/>
          <w:szCs w:val="22"/>
        </w:rPr>
        <w:t xml:space="preserve">2.2 Dos momentos de sujeción distintos: preparación y representación</w:t>
      </w:r>
    </w:p>
    <w:p>
      <w:pPr>
        <w:spacing w:after="120"/>
      </w:pPr>
      <w:r>
        <w:rPr>
          <w:rFonts w:ascii="Calibri" w:cs="Calibri" w:eastAsia="Calibri" w:hAnsi="Calibri"/>
          <w:sz w:val="22"/>
          <w:szCs w:val="22"/>
        </w:rPr>
        <w:t xml:space="preserve">A diferencia de la mayoría de las demás fracciones del artículo 17, la Fracción XI distingue expresamente dos momentos de sujeción con obligaciones distintas:</w:t>
      </w:r>
    </w:p>
    <w:p>
      <w:pPr>
        <w:spacing w:after="80"/>
      </w:pPr>
      <w:r>
        <w:rPr>
          <w:rFonts w:ascii="Calibri" w:cs="Calibri" w:eastAsia="Calibri" w:hAnsi="Calibri"/>
          <w:sz w:val="22"/>
          <w:szCs w:val="22"/>
        </w:rPr>
        <w:t xml:space="preserve">• Identificación: se activa cuando el profesional SE PREPARA para el cliente cualquiera de las operaciones de los incisos a) a e), es decir, desde la fase de asesoría o preparación, sin que sea necesario que el profesional ejecute la operación.</w:t>
      </w:r>
    </w:p>
    <w:p>
      <w:pPr>
        <w:spacing w:after="80"/>
      </w:pPr>
      <w:r>
        <w:rPr>
          <w:rFonts w:ascii="Calibri" w:cs="Calibri" w:eastAsia="Calibri" w:hAnsi="Calibri"/>
          <w:sz w:val="22"/>
          <w:szCs w:val="22"/>
        </w:rPr>
        <w:t xml:space="preserve">• Aviso ante la Secretaría: se activa únicamente cuando el profesional LLEVA A CABO la operación EN NOMBRE Y REPRESENTACIÓN del cliente — es decir, cuando, en nombre y representación de un cliente, lleva a cabo una operación financiera relacionada con las operaciones de los incisos a) a e) (art. 17, fr. XI, último párrafo), no cuando se limita a asesorar o preparar la documentación. La fecha del acto u operación para contar el plazo del Aviso es aquella en que el prestador realiza la operación financiera en representación o por instrucción del cliente (art. 24 Bis, fr. VII, RCG).</w:t>
      </w:r>
    </w:p>
    <w:p>
      <w:pPr>
        <w:spacing w:after="120"/>
      </w:pPr>
      <w:r>
        <w:rPr>
          <w:rFonts w:ascii="Calibri" w:cs="Calibri" w:eastAsia="Calibri" w:hAnsi="Calibri"/>
          <w:sz w:val="22"/>
          <w:szCs w:val="22"/>
        </w:rPr>
        <w:t xml:space="preserve">Esta distinción delimita el alcance real de la obligación de aviso: un abogado que únicamente asesora o redacta un contrato de compraventa, sin comparecer ni actuar en representación del cliente ante el tercero (v. gr., el banco, el notario, el Registro Público), queda sujeto al deber de identificación pero no necesariamente al de aviso, salvo que efectivamente lleve a cabo una operación financiera en nombre y representación del cliente.</w:t>
      </w:r>
    </w:p>
    <w:p>
      <w:pPr>
        <w:spacing w:after="110"/>
      </w:pPr>
      <w:r>
        <w:rPr>
          <w:rFonts w:ascii="Calibri" w:cs="Calibri" w:eastAsia="Calibri" w:hAnsi="Calibri"/>
          <w:sz w:val="20"/>
          <w:szCs w:val="20"/>
        </w:rPr>
        <w:t xml:space="preserve">Expediente de identificación en la fase de preparación (art. 12 Bis RCG). Quien prepare para un cliente cualquiera de las operaciones de la fracción XI puede integrar el expediente único de identificación solamente con los datos de los Anexos 3, 4, 4 Bis, 5, 6, 6 Bis, 7 Bis u 8 de las Reglas, según el tipo de cliente, y los relativos a la identificación de su representante, apoderados o de quienes realicen el acto a nombre de la persona moral. En la identificación no se acepta la cédula profesional como documento oficial (Anexos de las Reglas).</w:t>
      </w:r>
    </w:p>
    <w:p>
      <w:pPr>
        <w:spacing w:after="100" w:before="160"/>
      </w:pPr>
      <w:r>
        <w:rPr>
          <w:rFonts w:ascii="Calibri" w:cs="Calibri" w:eastAsia="Calibri" w:hAnsi="Calibri"/>
          <w:b/>
          <w:bCs/>
          <w:sz w:val="22"/>
          <w:szCs w:val="22"/>
        </w:rPr>
        <w:t xml:space="preserve">2.3 Umbrales aplicables</w:t>
      </w:r>
    </w:p>
    <w:p>
      <w:pPr>
        <w:spacing w:after="120"/>
      </w:pPr>
      <w:r>
        <w:rPr>
          <w:rFonts w:ascii="Calibri" w:cs="Calibri" w:eastAsia="Calibri" w:hAnsi="Calibri"/>
          <w:sz w:val="22"/>
          <w:szCs w:val="22"/>
        </w:rPr>
        <w:t xml:space="preserve">La Fracción XI no establece umbral monetario alguno, a diferencia de la generalidad de las demás fracciones del artículo 17 (que fijan montos en UMA para activar la identificación y/o el aviso). La sujeción depende exclusivamente de la naturaleza de la operación (incisos a-e) y del momento (preparación o representación), no de su cuantía.</w:t>
      </w:r>
    </w:p>
    <w:p>
      <w:pPr>
        <w:spacing w:after="110"/>
      </w:pPr>
      <w:r>
        <w:rPr>
          <w:rFonts w:ascii="Calibri" w:cs="Calibri" w:eastAsia="Calibri" w:hAnsi="Calibri"/>
          <w:sz w:val="20"/>
          <w:szCs w:val="20"/>
        </w:rPr>
        <w:t xml:space="preserve">En consecuencia, no opera para esta fracción el seguimiento y acumulación de montos del art. 19 RCG, que no la incluye. Esto no impide dar seguimiento a la actividad de cada cliente para efectos del perfil transaccional, la reevaluación del Grado de Riesgo (al menos cada seis meses, art. 23 Bis 1 RCG) y la verificación anual de los expedientes (art. 21 RCG).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500"/>
      </w:tblGrid>
      <w:tr>
        <w:tc>
          <w:tcPr>
            <w:tcW w:type="dxa" w:w="4500"/>
            <w:tcBorders>
              <w:top w:val="none"/>
              <w:left w:val="none"/>
              <w:bottom w:val="none"/>
              <w:right w:val="none"/>
            </w:tcBorders>
            <w:shd w:fill="D9D9D9" w:val="clear"/>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Inciso / Operación</w:t>
            </w:r>
          </w:p>
        </w:tc>
        <w:tc>
          <w:tcPr>
            <w:tcW w:type="dxa" w:w="2500"/>
            <w:tcBorders>
              <w:top w:val="none"/>
              <w:left w:val="none"/>
              <w:bottom w:val="none"/>
              <w:right w:val="none"/>
            </w:tcBorders>
            <w:shd w:fill="D9D9D9" w:val="clear"/>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Momento de sujeción</w:t>
            </w:r>
          </w:p>
        </w:tc>
        <w:tc>
          <w:tcPr>
            <w:tcW w:type="dxa" w:w="2500"/>
            <w:tcBorders>
              <w:top w:val="none"/>
              <w:left w:val="none"/>
              <w:bottom w:val="none"/>
              <w:right w:val="none"/>
            </w:tcBorders>
            <w:shd w:fill="D9D9D9" w:val="clear"/>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Umbral</w:t>
            </w:r>
          </w:p>
        </w:tc>
      </w:tr>
      <w:tr>
        <w:tc>
          <w:tcPr>
            <w:tcW w:type="dxa" w:w="45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sz w:val="22"/>
                <w:szCs w:val="22"/>
              </w:rPr>
              <w:t xml:space="preserve">Identificación del cliente (incisos a-e)</w:t>
            </w:r>
          </w:p>
        </w:tc>
        <w:tc>
          <w:tcPr>
            <w:tcW w:type="dxa" w:w="25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sz w:val="22"/>
                <w:szCs w:val="22"/>
              </w:rPr>
              <w:t xml:space="preserve">Al preparar la operación para el cliente</w:t>
            </w:r>
          </w:p>
        </w:tc>
        <w:tc>
          <w:tcPr>
            <w:tcW w:type="dxa" w:w="25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sz w:val="22"/>
                <w:szCs w:val="22"/>
              </w:rPr>
              <w:t xml:space="preserve">SIEMPRE (sin umbral)</w:t>
            </w:r>
          </w:p>
        </w:tc>
      </w:tr>
      <w:tr>
        <w:tc>
          <w:tcPr>
            <w:tcW w:type="dxa" w:w="45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sz w:val="22"/>
                <w:szCs w:val="22"/>
              </w:rPr>
              <w:t xml:space="preserve">Presentación de aviso ante la Secretaría (incisos a-e)</w:t>
            </w:r>
          </w:p>
        </w:tc>
        <w:tc>
          <w:tcPr>
            <w:tcW w:type="dxa" w:w="25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sz w:val="22"/>
                <w:szCs w:val="22"/>
              </w:rPr>
              <w:t xml:space="preserve">Al llevar a cabo una operación financiera en nombre y representación del cliente</w:t>
            </w:r>
          </w:p>
        </w:tc>
        <w:tc>
          <w:tcPr>
            <w:tcW w:type="dxa" w:w="25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sz w:val="22"/>
                <w:szCs w:val="22"/>
              </w:rPr>
              <w:t xml:space="preserve">SIEMPRE (sin umbral)</w:t>
            </w:r>
          </w:p>
        </w:tc>
      </w:tr>
    </w:tbl>
    <w:p>
      <w:pPr>
        <w:spacing w:after="120" w:before="240"/>
      </w:pPr>
      <w:r>
        <w:rPr>
          <w:rFonts w:ascii="Calibri" w:cs="Calibri" w:eastAsia="Calibri" w:hAnsi="Calibri"/>
          <w:b/>
          <w:bCs/>
          <w:color w:val="1F3864"/>
          <w:sz w:val="24"/>
          <w:szCs w:val="24"/>
        </w:rPr>
        <w:t xml:space="preserve">III. Alcance: cuándo NO se activa la sujeción</w:t>
      </w:r>
    </w:p>
    <w:p>
      <w:pPr>
        <w:spacing w:after="120"/>
      </w:pPr>
      <w:r>
        <w:rPr>
          <w:rFonts w:ascii="Calibri" w:cs="Calibri" w:eastAsia="Calibri" w:hAnsi="Calibri"/>
          <w:sz w:val="22"/>
          <w:szCs w:val="22"/>
        </w:rPr>
        <w:t xml:space="preserve">La sujeción de la Fracción XI no es general para toda la actividad profesional de abogados, contadores o asesores corporativos, sino que está acotada a los cinco supuestos de los incisos a) a e). Servicios profesionales que no impliquen preparar o representar al cliente en alguna de esas operaciones — por ejemplo, litigio y representación contenciosa, consultoría fiscal que no derive en el manejo de cuentas o constitución de sociedades, auditoría contable sin administración de recursos del cliente, o asesoría laboral — no quedan, por sí solos, comprendidos en esta fracción.</w:t>
      </w:r>
    </w:p>
    <w:p>
      <w:pPr>
        <w:spacing w:after="120"/>
      </w:pPr>
      <w:r>
        <w:rPr>
          <w:rFonts w:ascii="Calibri" w:cs="Calibri" w:eastAsia="Calibri" w:hAnsi="Calibri"/>
          <w:i/>
          <w:iCs/>
          <w:sz w:val="22"/>
          <w:szCs w:val="22"/>
        </w:rPr>
        <w:t xml:space="preserve">Criterio de operación: el profesional (o el Representante de Cumplimiento, si es despacho) determina y documenta por escrito, respecto de cada línea de servicio y de cada asunto, si queda comprendida en los incisos a) a e) (ficha D6-PROF, expediente D7-PROF Sección G y bitácora D12-PROF). Las líneas de servicio que queden fuera del supuesto se listan en el Manual (D5-PROF, capítulos 2 y 20) para acreditar el alcance de la sujeción (art. 37 Bis 2 RCG).</w:t>
      </w:r>
    </w:p>
    <w:p>
      <w:pPr>
        <w:spacing w:after="120" w:before="240"/>
      </w:pPr>
      <w:r>
        <w:rPr>
          <w:rFonts w:ascii="Calibri" w:cs="Calibri" w:eastAsia="Calibri" w:hAnsi="Calibri"/>
          <w:b/>
          <w:bCs/>
          <w:color w:val="1F3864"/>
          <w:sz w:val="24"/>
          <w:szCs w:val="24"/>
        </w:rPr>
        <w:t xml:space="preserve">IV. Secreto profesional y garantía de defensa</w:t>
      </w:r>
    </w:p>
    <w:p>
      <w:pPr>
        <w:spacing w:after="120"/>
      </w:pPr>
      <w:r>
        <w:rPr>
          <w:rFonts w:ascii="Calibri" w:cs="Calibri" w:eastAsia="Calibri" w:hAnsi="Calibri"/>
          <w:sz w:val="22"/>
          <w:szCs w:val="22"/>
        </w:rPr>
        <w:t xml:space="preserve">La propia Fracción XI condiciona la obligación de aviso a que ésta se cumpla "con respeto al secreto profesional y garantía de defensa en términos de esta Ley" — una calificación que no aparece en ninguna otra fracción del artículo 17 y que resulta particularmente relevante para abogados en ejercicio, dado el privilegio cliente-abogado y el derecho de defensa.</w:t>
      </w:r>
    </w:p>
    <w:p>
      <w:pPr>
        <w:spacing w:after="120"/>
      </w:pPr>
      <w:r>
        <w:rPr>
          <w:rFonts w:ascii="Calibri" w:cs="Calibri" w:eastAsia="Calibri" w:hAnsi="Calibri"/>
          <w:sz w:val="22"/>
          <w:szCs w:val="22"/>
        </w:rPr>
        <w:t xml:space="preserve">De manera general, el artículo 22 LFPIORPI dispone que la presentación de avisos e información ante la Secretaría no implica, para quien realiza la Actividad Vulnerable, transgresión a las obligaciones de confidencialidad o secreto profesional, ni puede ser objeto de cláusula de confidencialidad en contrato alguno. La calificación adicional de la Fracción XI ("con respeto al secreto profesional y garantía de defensa") sugiere, sin embargo, un matiz de protección reforzada específico para estos profesionales, cuyo alcance práctico —en particular frente a información amparada por el privilegio cliente-abogado o la estrategia de defensa— no ha sido desarrollado con precisión en el Reglamento ni en las Reglas de Carácter General revisadas.</w:t>
      </w:r>
    </w:p>
    <w:p>
      <w:pPr>
        <w:spacing w:after="120"/>
      </w:pPr>
      <w:r>
        <w:rPr>
          <w:rFonts w:ascii="Calibri" w:cs="Calibri" w:eastAsia="Calibri" w:hAnsi="Calibri"/>
          <w:i/>
          <w:iCs/>
          <w:sz w:val="22"/>
          <w:szCs w:val="22"/>
        </w:rPr>
        <w:t xml:space="preserve">Criterio institucional del Programa (pendiente de desarrollo por la autoridad, por lo que debe revisarse ante cualquier criterio que emita la Secretaría): (i) no se avisa información obtenida en el ejercicio de la defensa de un cliente en un procedimiento (litigio, estrategia o asesoría de defensa), que no constituye por sí misma una operación financiera relacionada con los incisos; (ii) sí se avisa cuando el profesional lleva a cabo operaciones financieras en representación del cliente (movimientos de fondos, pagos, aportaciones, operaciones de cuentas), limitando el contenido del Aviso a lo que exige el art. 24 de la Ley —datos del prestador, del cliente y del Beneficiario Controlador, y descripción general de la operación— sin incorporar hechos, estrategia ni comunicaciones privilegiadas; y (iii) ante la duda en un caso concreto se documenta el análisis y se consulta al asesor legal antes de decidir no avisar. La calificación no suprime la obligación de identificación ni la de Aviso: delimita cómo se ejerce.</w:t>
      </w:r>
    </w:p>
    <w:p>
      <w:pPr>
        <w:spacing w:after="120" w:before="240"/>
      </w:pPr>
      <w:r>
        <w:rPr>
          <w:rFonts w:ascii="Calibri" w:cs="Calibri" w:eastAsia="Calibri" w:hAnsi="Calibri"/>
          <w:b/>
          <w:bCs/>
          <w:color w:val="1F3864"/>
          <w:sz w:val="24"/>
          <w:szCs w:val="24"/>
        </w:rPr>
        <w:t xml:space="preserve">V. Régimen según el tipo de sujeto obligado</w:t>
      </w:r>
    </w:p>
    <w:p>
      <w:pPr>
        <w:spacing w:after="120"/>
      </w:pPr>
      <w:r>
        <w:rPr>
          <w:rFonts w:ascii="Calibri" w:cs="Calibri" w:eastAsia="Calibri" w:hAnsi="Calibri"/>
          <w:sz w:val="22"/>
          <w:szCs w:val="22"/>
        </w:rPr>
        <w:t xml:space="preserve">Conforme al último párrafo del artículo 20 LFPIORPI, las personas físicas que realicen Actividades Vulnerables cumplen personal y directamente con las obligaciones de la Ley — régimen equivalente al aplicado en la variante notarial (_NOT) para fedatarios personas físicas. En este caso:</w:t>
      </w:r>
    </w:p>
    <w:p>
      <w:pPr>
        <w:spacing w:after="80"/>
      </w:pPr>
      <w:r>
        <w:rPr>
          <w:rFonts w:ascii="Calibri" w:cs="Calibri" w:eastAsia="Calibri" w:hAnsi="Calibri"/>
          <w:sz w:val="22"/>
          <w:szCs w:val="22"/>
        </w:rPr>
        <w:t xml:space="preserve">• Profesional independiente (persona física): cumple personal y directamente las obligaciones de identificación, conservación documental y presentación de avisos, sin que exista una figura de Representante de Cumplimiento registrable ante la autoridad.</w:t>
      </w:r>
    </w:p>
    <w:p>
      <w:pPr>
        <w:spacing w:after="80"/>
      </w:pPr>
      <w:r>
        <w:rPr>
          <w:rFonts w:ascii="Calibri" w:cs="Calibri" w:eastAsia="Calibri" w:hAnsi="Calibri"/>
          <w:sz w:val="22"/>
          <w:szCs w:val="22"/>
        </w:rPr>
        <w:t xml:space="preserve">• Despacho (persona moral): debe designar ante la Secretaría a una persona Representante Encargada del Cumplimiento, conforme al artículo 20, quien debe aceptar la designación en el Portal con su RFC y e.firma vigente (art. 10 RCG), recibir capacitación anual y concentrar el cumplimiento de las obligaciones de la Ley a nombre del despacho. En tanto no haya Representante o la designación no sea aceptada, el cumplimiento corresponde a los integrantes del órgano de administración o al administrador único (art. 20, segundo párrafo).</w:t>
      </w:r>
    </w:p>
    <w:p>
      <w:pPr>
        <w:spacing w:after="120"/>
      </w:pPr>
      <w:r>
        <w:rPr>
          <w:rFonts w:ascii="Calibri" w:cs="Calibri" w:eastAsia="Calibri" w:hAnsi="Calibri"/>
          <w:sz w:val="22"/>
          <w:szCs w:val="22"/>
        </w:rPr>
        <w:t xml:space="preserve">Esta distinción determina qué documento de designación aplica dentro del Kit Certus PLD (constancia de asunción personal para el profesional persona física, o acta de designación de representante para el despacho persona moral), sin alterar el análisis de sujeción sustantivo de la Fracción XI, que es idéntico para ambos tipos de sujeto obligado.</w:t>
      </w:r>
    </w:p>
    <w:p>
      <w:pPr>
        <w:spacing w:after="110"/>
      </w:pPr>
      <w:r>
        <w:rPr>
          <w:rFonts w:ascii="Calibri" w:cs="Calibri" w:eastAsia="Calibri" w:hAnsi="Calibri"/>
          <w:sz w:val="20"/>
          <w:szCs w:val="20"/>
        </w:rPr>
        <w:t xml:space="preserve">Entidades Colegiadas. El art. 20 exceptúa de la regla de cumplimiento personal el supuesto de la Sección Cuarta del Capítulo III de la Ley (Entidades Colegiadas, arts. 26 a 31). Un profesional solo puede apoyarse en una Entidad Colegiada si el colegio o barra cuenta con esa habilitación y el profesional lo acredita en su expediente; en caso contrario, cumple personal y directamente.</w:t>
      </w:r>
    </w:p>
    <w:p>
      <w:pPr>
        <w:spacing w:after="120" w:before="240"/>
      </w:pPr>
      <w:r>
        <w:rPr>
          <w:rFonts w:ascii="Calibri" w:cs="Calibri" w:eastAsia="Calibri" w:hAnsi="Calibri"/>
          <w:b/>
          <w:bCs/>
          <w:color w:val="1F3864"/>
          <w:sz w:val="24"/>
          <w:szCs w:val="24"/>
        </w:rPr>
        <w:t xml:space="preserve">VI. Conclusión</w:t>
      </w:r>
    </w:p>
    <w:p>
      <w:pPr>
        <w:spacing w:after="120"/>
      </w:pPr>
      <w:r>
        <w:rPr>
          <w:rFonts w:ascii="Calibri" w:cs="Calibri" w:eastAsia="Calibri" w:hAnsi="Calibri"/>
          <w:sz w:val="22"/>
          <w:szCs w:val="22"/>
        </w:rPr>
        <w:t xml:space="preserve">Con base en el análisis anterior, el [profesional / despacho] SE ENCUENTRA SUJETO a las obligaciones de la LFPIORPI en la Fracción XI del artículo 17, respecto de aquellas líneas de servicio que impliquen preparar para el cliente o llevar a cabo en su nombre y representación alguna de las operaciones de los incisos a) a e), y deberá cumplir con la totalidad de las obligaciones establecidas en los artículos 17 al 24, sin que exista umbral monetario que condicione dicha sujeción. El incumplimiento puede resultar en sanciones económicas conforme al régimen de los artículos 53 y 54 LFPIORPI (200 a 2,000 UMA por incumplir el art. 18 o por aviso extemporáneo de hasta 30 días; 10,000 a 65,000 UMA o 10% a 100% del valor de la operación por omisión de Avisos), con la atenuante del art. 55, sin perjuicio de las consideraciones especiales de secreto profesional y garantía de defensa aplicables a esta fracción.</w:t>
      </w:r>
    </w:p>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Atentamente,</w:t>
      </w:r>
    </w:p>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___________________________________</w:t>
      </w:r>
    </w:p>
    <w:p>
      <w:pPr>
        <w:spacing w:after="120"/>
      </w:pPr>
      <w:r>
        <w:rPr>
          <w:rFonts w:ascii="Calibri" w:cs="Calibri" w:eastAsia="Calibri" w:hAnsi="Calibri"/>
          <w:b/>
          <w:bCs/>
          <w:sz w:val="22"/>
          <w:szCs w:val="22"/>
        </w:rPr>
        <w:t xml:space="preserve">CERTUS CONSULTORES</w:t>
      </w:r>
    </w:p>
    <w:p>
      <w:pPr>
        <w:spacing w:after="120"/>
      </w:pPr>
      <w:r>
        <w:rPr>
          <w:rFonts w:ascii="Calibri" w:cs="Calibri" w:eastAsia="Calibri" w:hAnsi="Calibri"/>
          <w:sz w:val="22"/>
          <w:szCs w:val="22"/>
        </w:rPr>
        <w:t xml:space="preserve">Certus PLD | Mérida, Yucatán</w:t>
      </w:r>
    </w:p>
    <w:p>
      <w:pPr>
        <w:spacing w:after="120"/>
      </w:pPr>
      <w:r>
        <w:rPr>
          <w:rFonts w:ascii="Calibri" w:cs="Calibri" w:eastAsia="Calibri" w:hAnsi="Calibri"/>
          <w:sz w:val="22"/>
          <w:szCs w:val="22"/>
        </w:rPr>
        <w:t xml:space="preserve">contacto@certusconsultores.com.mx | 999 163 1363</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2026-09-09T16:13:38.204Z</dcterms:created>
  <dcterms:modified xsi:type="dcterms:W3CDTF">2026-09-09T16:13:38.214Z</dcterms:modified>
</cp:coreProperties>
</file>

<file path=docProps/custom.xml><?xml version="1.0" encoding="utf-8"?>
<Properties xmlns="http://schemas.openxmlformats.org/officeDocument/2006/custom-properties" xmlns:vt="http://schemas.openxmlformats.org/officeDocument/2006/docPropsVTypes"/>
</file>