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CERTUS PLD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│ 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D11-PROF Programa Anual de Capacitación Certus PLD — Servicios Profesionales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Profesional / Despacho: [Nombre]   │   Variante: Servicios Profesionales — Fracción XI LFPIORPI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Profesional / Despacho: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[Nombre]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Año del programa: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[Año]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Responsable: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[Profesional Titular / Repr. de Cumplimiento]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Elaboró: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CERTUS CONSULTORES │ Certus PLD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Objetivo: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Garantizar que el 100% del personal involucrado en servicios de los incisos a-e reciba al menos una capacitación anual (art. 18, fr. IX, de la Ley; art. 39 Bis RCG). Primer periodo anual: 1 de enero al 31 de diciembre de 2027</w:t>
            </w:r>
          </w:p>
        </w:tc>
      </w:tr>
    </w:tbl>
    <w:p>
      <w:pP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I. Grupos de Capacitación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1600"/>
        <w:gridCol w:w="1400"/>
        <w:gridCol w:w="900"/>
      </w:tblGrid>
      <w:tr>
        <w:tc>
          <w:tcPr>
            <w:tcW w:type="dxa" w:w="19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Grupo</w:t>
            </w:r>
          </w:p>
        </w:tc>
        <w:tc>
          <w:tcPr>
            <w:tcW w:type="dxa" w:w="3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Integrantes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Módulos obligatorios</w:t>
            </w:r>
          </w:p>
        </w:tc>
        <w:tc>
          <w:tcPr>
            <w:tcW w:type="dxa" w:w="1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Modalidad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Frecuencia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G1 - Profesional Titular / Repr. Cumpl.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Profesional independiente o Repr. de Cumplimiento del despacho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Todos (1 al 6)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Presencial + Virtual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Semestral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G2 - Socios / asociados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Otros socios o asociados del despacho que prestan servicios de los incisos a-e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Mod. 1, 2, 3, 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Presencial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Anual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G3 - Personal de apoyo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Asistentes, pasantes, personal administrativo con contacto con clientes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Mod. 1, 2, 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Virtual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Anual</w:t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Nota: a diferencia del kit inmobiliario, no hay grupos de "Área Comercial" — la capacitación se organiza por nivel de involucramiento en los servicios de los incisos a-e, no por función de ventas.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II. Módulos de Capacitación Certus PLD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3600"/>
      </w:tblGrid>
      <w:tr>
        <w:tc>
          <w:tcPr>
            <w:tcW w:type="dxa" w:w="9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3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Tema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Duración</w:t>
            </w:r>
          </w:p>
        </w:tc>
        <w:tc>
          <w:tcPr>
            <w:tcW w:type="dxa" w:w="3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Contenido principal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Mod. 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Marco normativo PLD/FT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60 min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LFPIORPI, Fracción XI (incisos a-e), sin umbral monetario, sanciones, UMA 2026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Mod. 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Señales de alerta en servicios profesionales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45 min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Catálogo por inciso (D9-PROF), tipologías, casos de estudio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Mod. 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Identificación de clientes y Beneficiario Controlador (KYC)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60 min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Procedimiento KYC, llenado de expediente D7-PROF, beneficiario controlador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Mod. 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PEP's y debida diligencia reforzada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45 min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Definición de PEP, roles por inciso (D8-PROF), 6 pasos, medidas reforzadas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Mod. 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Preparación vs. Representación: cuándo se activa el aviso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45 min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D1-PROF Sección II.2, secreto profesional y garantía de defensa, casos límite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Mod. 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Reportes de operaciones y avisos al SAT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45 min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Detección y reporte (D9-PROF), proceso SPPLD, control (D12-PROF), confidencialidad</w:t>
            </w:r>
          </w:p>
        </w:tc>
      </w:tr>
    </w:tbl>
    <w:p>
      <w:pP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III. Calendario Anual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800"/>
        <w:gridCol w:w="1800"/>
        <w:gridCol w:w="2400"/>
      </w:tblGrid>
      <w:tr>
        <w:tc>
          <w:tcPr>
            <w:tcW w:type="dxa" w:w="1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Mes</w:t>
            </w:r>
          </w:p>
        </w:tc>
        <w:tc>
          <w:tcPr>
            <w:tcW w:type="dxa" w:w="2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Grupo</w:t>
            </w:r>
          </w:p>
        </w:tc>
        <w:tc>
          <w:tcPr>
            <w:tcW w:type="dxa" w:w="1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Módulos</w:t>
            </w:r>
          </w:p>
        </w:tc>
        <w:tc>
          <w:tcPr>
            <w:tcW w:type="dxa" w:w="1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tentativa</w:t>
            </w:r>
          </w:p>
        </w:tc>
        <w:tc>
          <w:tcPr>
            <w:tcW w:type="dxa" w:w="2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Instructor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Enero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Mod. 1 al 6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[Fecha]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Certus Consultores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Marzo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Mod. 1, 2, 3, 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[Fecha]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Profesional Titular / Repr. Cumpl.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Abril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Mod. 1, 2, 6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[Fecha]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Profesional Titular / Repr. Cumpl.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Julio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G1 (refuerzo semestral)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Mod. 1, 5, 6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[Fecha]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Profesional Titular / Repr. Cumpl.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Octubre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Todos los grupos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Recordatorio general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[Fecha]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Profesional Titular / Repr. Cumpl.</w:t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sz w:val="20"/>
          <w:szCs w:val="20"/>
        </w:rPr>
        <w:t xml:space="preserve">Contenido mínimo (art. 39 Bis RCG): conocimiento y cumplimiento de la Ley, su Reglamento, las Reglas y los formatos oficiales; del Manual de Políticas Internas (D5-PROF); de los actos y operaciones del art. 17 que realiza el sujeto obligado; de los Riesgos a que está expuesto; y técnicas, métodos y tendencias para prevenir y detectar operaciones que pudieran actualizar el art. 400 Bis del Código Penal Federal. Los temas deben ser coherentes con los resultados de la Metodología EBR (D6-PROF). Quienes impartan la capacitación deben acreditar al menos cinco años de experiencia en prevención de lavado de dinero (art. 39 Bis, fr. III). Los empleados que vayan a laborar en atención al público o administración de recursos se capacitan de manera previa o simultánea a su ingreso (art. 39 Bis 1). Se conservan por diez años el programa, materiales, listas de asistencia, evaluaciones y constancias.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IV. Evaluación y Constancias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Cada participante completará la Evaluación de Comprensión (D11C-PROF) al finalizar la capacitación. Calificación mínima aprobatoria: 14/20 puntos. Quienes no aprueben recibirán capacitación remedial dentro de los 15 días siguientes.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10"/>
      </w:pPr>
      <w:r>
        <w:rPr>
          <w:rFonts w:ascii="Calibri" w:cs="Calibri" w:eastAsia="Calibri" w:hAnsi="Calibri"/>
          <w:sz w:val="16"/>
          <w:szCs w:val="16"/>
        </w:rPr>
        <w:t xml:space="preserve">CERTUS CONSULTORES  |  Certus PLD  |  Mérida, Yucatán  |  999 163 1363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2026-09-10T21:04:32.039Z</dcterms:created>
  <dcterms:modified xsi:type="dcterms:W3CDTF">2026-09-10T21:04:32.039Z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