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none"/>
              <w:left w:val="none"/>
              <w:bottom w:val="none"/>
              <w:right w:val="none"/>
            </w:tcBorders>
            <w:tcMar>
              <w:top w:type="dxa" w:w="60"/>
              <w:left w:type="dxa" w:w="100"/>
              <w:bottom w:type="dxa" w:w="60"/>
              <w:right w:type="dxa" w:w="100"/>
            </w:tcMar>
            <w:vAlign w:val="center"/>
          </w:tcPr>
          <w:p>
            <w:r>
              <w:rPr>
                <w:rFonts w:ascii="Calibri" w:cs="Calibri" w:eastAsia="Calibri" w:hAnsi="Calibri"/>
                <w:b/>
                <w:bCs/>
                <w:color w:val="1F3864"/>
                <w:sz w:val="24"/>
                <w:szCs w:val="24"/>
              </w:rPr>
              <w:t xml:space="preserve">CERTUS PLD</w:t>
            </w:r>
            <w:r>
              <w:rPr>
                <w:rFonts w:ascii="Calibri" w:cs="Calibri" w:eastAsia="Calibri" w:hAnsi="Calibri"/>
                <w:sz w:val="22"/>
                <w:szCs w:val="22"/>
              </w:rPr>
              <w:t xml:space="preserve">   │   </w:t>
            </w:r>
            <w:r>
              <w:rPr>
                <w:rFonts w:ascii="Calibri" w:cs="Calibri" w:eastAsia="Calibri" w:hAnsi="Calibri"/>
                <w:b/>
                <w:bCs/>
                <w:sz w:val="20"/>
                <w:szCs w:val="20"/>
              </w:rPr>
              <w:t xml:space="preserve">D11B-PROF Casos Prácticos — Certus PLD (Servicios Profesionales)</w:t>
            </w:r>
          </w:p>
          <w:p>
            <w:pPr>
              <w:spacing w:before="60"/>
            </w:pPr>
            <w:r>
              <w:rPr>
                <w:rFonts w:ascii="Calibri" w:cs="Calibri" w:eastAsia="Calibri" w:hAnsi="Calibri"/>
                <w:sz w:val="18"/>
                <w:szCs w:val="18"/>
              </w:rPr>
              <w:t xml:space="preserve">Profesional / Despacho: [Nombre]   │   Variante: Servicios Profesionales — Fracción XI LFPIORPI</w:t>
            </w:r>
          </w:p>
        </w:tc>
      </w:tr>
    </w:tbl>
    <w:p>
      <w:pPr>
        <w:spacing w:after="100"/>
      </w:pPr>
      <w:r>
        <w:rPr>
          <w:rFonts w:ascii="Calibri" w:cs="Calibri" w:eastAsia="Calibri" w:hAnsi="Calibri"/>
          <w:sz w:val="21"/>
          <w:szCs w:val="21"/>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Profesional / Despacho: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[Nombre]</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Fecha:</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[Fecha]</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Uso:</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Material de capacitación presencial — Programa Certus PLD</w:t>
            </w:r>
          </w:p>
        </w:tc>
      </w:tr>
      <w:tr>
        <w:tc>
          <w:tcPr>
            <w:tcW w:type="dxa" w:w="3200"/>
            <w:tcMar>
              <w:top w:type="dxa" w:w="60"/>
              <w:left w:type="dxa" w:w="100"/>
              <w:bottom w:type="dxa" w:w="60"/>
              <w:right w:type="dxa" w:w="100"/>
            </w:tcMar>
            <w:vAlign w:val="center"/>
          </w:tcPr>
          <w:p>
            <w:pPr>
              <w:spacing w:after="0"/>
            </w:pPr>
            <w:r>
              <w:rPr>
                <w:rFonts w:ascii="Calibri" w:cs="Calibri" w:eastAsia="Calibri" w:hAnsi="Calibri"/>
                <w:b/>
                <w:bCs/>
                <w:sz w:val="21"/>
                <w:szCs w:val="21"/>
              </w:rPr>
              <w:t xml:space="preserve">Elaboró:</w:t>
            </w:r>
          </w:p>
        </w:tc>
        <w:tc>
          <w:tcPr>
            <w:tcW w:type="dxa" w:w="6300"/>
            <w:tcMar>
              <w:top w:type="dxa" w:w="60"/>
              <w:left w:type="dxa" w:w="100"/>
              <w:bottom w:type="dxa" w:w="60"/>
              <w:right w:type="dxa" w:w="100"/>
            </w:tcMar>
            <w:vAlign w:val="center"/>
          </w:tcPr>
          <w:p>
            <w:pPr>
              <w:spacing w:after="0"/>
            </w:pPr>
            <w:r>
              <w:rPr>
                <w:rFonts w:ascii="Calibri" w:cs="Calibri" w:eastAsia="Calibri" w:hAnsi="Calibri"/>
                <w:sz w:val="21"/>
                <w:szCs w:val="21"/>
              </w:rPr>
              <w:t xml:space="preserve">Certus Consultores │ Certus PLD</w:t>
            </w:r>
          </w:p>
        </w:tc>
      </w:tr>
    </w:tbl>
    <w:p>
      <w:pPr>
        <w:spacing w:after="110"/>
      </w:pPr>
      <w:r>
        <w:rPr>
          <w:rFonts w:ascii="Calibri" w:cs="Calibri" w:eastAsia="Calibri" w:hAnsi="Calibri"/>
          <w:i/>
          <w:iCs/>
          <w:sz w:val="21"/>
          <w:szCs w:val="21"/>
        </w:rPr>
        <w:t xml:space="preserve">Los siguientes 6 casos prácticos refuerzan el aprendizaje del Programa Certus PLD a través de situaciones reales de servicios profesionales bajo la Fracción XI. Cada caso corresponde a un módulo del D11-PROF.</w:t>
      </w:r>
    </w:p>
    <w:p>
      <w:pPr>
        <w:spacing w:after="90" w:before="150"/>
      </w:pPr>
      <w:r>
        <w:rPr>
          <w:rFonts w:ascii="Calibri" w:cs="Calibri" w:eastAsia="Calibri" w:hAnsi="Calibri"/>
          <w:b/>
          <w:bCs/>
          <w:sz w:val="21"/>
          <w:szCs w:val="21"/>
        </w:rPr>
        <w:t xml:space="preserve">Caso 1: "Solo aplica a operaciones grandes"</w:t>
      </w:r>
    </w:p>
    <w:p>
      <w:pPr>
        <w:spacing w:after="110"/>
      </w:pPr>
      <w:r>
        <w:rPr>
          <w:rFonts w:ascii="Calibri" w:cs="Calibri" w:eastAsia="Calibri" w:hAnsi="Calibri"/>
          <w:i/>
          <w:iCs/>
          <w:sz w:val="19"/>
          <w:szCs w:val="19"/>
        </w:rPr>
        <w:t xml:space="preserve">Módulo 1 — Marco Normativo</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La abogada Fernanda asesora startups en la constitución de sociedades. Solo ha estado registrando ante el SAT e identificando a los clientes cuyo capital social supera $1,000,000 MXN, porque asume que "la ley aplica solo a operaciones grandes, como en el sector inmobiliario". Un colega le comenta que eso podría no ser correcto.</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¿Existe un umbral monetario en la Fracción XI para la obligación de identificación?</w:t>
      </w:r>
    </w:p>
    <w:p>
      <w:pPr>
        <w:spacing w:after="60"/>
      </w:pPr>
      <w:r>
        <w:rPr>
          <w:rFonts w:ascii="Calibri" w:cs="Calibri" w:eastAsia="Calibri" w:hAnsi="Calibri"/>
          <w:sz w:val="21"/>
          <w:szCs w:val="21"/>
        </w:rPr>
        <w:t xml:space="preserve">2. ¿Desde qué momento debía Fernanda haber identificado a sus clientes de constitución de sociedades?</w:t>
      </w:r>
    </w:p>
    <w:p>
      <w:pPr>
        <w:spacing w:after="60"/>
      </w:pPr>
      <w:r>
        <w:rPr>
          <w:rFonts w:ascii="Calibri" w:cs="Calibri" w:eastAsia="Calibri" w:hAnsi="Calibri"/>
          <w:sz w:val="21"/>
          <w:szCs w:val="21"/>
        </w:rPr>
        <w:t xml:space="preserve">3. ¿Qué exposición tiene por los clientes que no identificó por no alcanzar un umbral inexistente?</w:t>
      </w:r>
    </w:p>
    <w:p>
      <w:pPr>
        <w:spacing w:after="60"/>
      </w:pPr>
      <w:r>
        <w:rPr>
          <w:rFonts w:ascii="Calibri" w:cs="Calibri" w:eastAsia="Calibri" w:hAnsi="Calibri"/>
          <w:sz w:val="21"/>
          <w:szCs w:val="21"/>
        </w:rPr>
        <w:t xml:space="preserve">4. ¿Cambia algo el análisis si Fernanda solo asesoró, sin comparecer a firmar en representación del cliente?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El razonamiento de Fernanda es incorrecto. La Fracción XI no establece umbral monetario alguno: el deber de identificación se activa desde que el profesional SE PREPARA para el cliente en cualquiera de los incisos a) a e) — en este caso, el inciso e) (constitución de sociedades) — sin importar el monto del capital social. Fernanda debió haber integrado expediente KYC (D7-PROF) desde el primer servicio de este tipo, no solo en los de mayor cuantía. La omisión de identificación es sancionable conforme a los artículos 53, fracción II, y 54, fracción I (200 a 2,000 UMA) independientemente de si después se activó o no la obligación de aviso. Que Fernanda solo haya asesorado, sin representar al cliente, no cambia la obligación de identificación — solo incide en si, además, debía presentar aviso (D1-PROF, Sección II.2).</w:t>
            </w:r>
          </w:p>
        </w:tc>
      </w:tr>
    </w:tbl>
    <w:p>
      <w:pPr>
        <w:spacing w:after="100"/>
      </w:pPr>
      <w:r>
        <w:rPr>
          <w:rFonts w:ascii="Calibri" w:cs="Calibri" w:eastAsia="Calibri" w:hAnsi="Calibri"/>
          <w:sz w:val="21"/>
          <w:szCs w:val="21"/>
        </w:rPr>
        <w:t xml:space="preserve"/>
      </w:r>
    </w:p>
    <w:p>
      <w:pPr>
        <w:spacing w:after="90" w:before="150"/>
      </w:pPr>
      <w:r>
        <w:rPr>
          <w:rFonts w:ascii="Calibri" w:cs="Calibri" w:eastAsia="Calibri" w:hAnsi="Calibri"/>
          <w:b/>
          <w:bCs/>
          <w:sz w:val="21"/>
          <w:szCs w:val="21"/>
        </w:rPr>
        <w:t xml:space="preserve">Caso 2: Las transferencias sin explicación</w:t>
      </w:r>
    </w:p>
    <w:p>
      <w:pPr>
        <w:spacing w:after="110"/>
      </w:pPr>
      <w:r>
        <w:rPr>
          <w:rFonts w:ascii="Calibri" w:cs="Calibri" w:eastAsia="Calibri" w:hAnsi="Calibri"/>
          <w:i/>
          <w:iCs/>
          <w:sz w:val="19"/>
          <w:szCs w:val="19"/>
        </w:rPr>
        <w:t xml:space="preserve">Módulo 2 — Señales de Alerta</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El contador Julio administra las cuentas de inversión de un cliente conforme a un contrato de administración de activos. El cliente le empieza a pedir, cada dos semanas, que transfiera montos de entre $80,000 y $95,000 MXN a una cuenta en una jurisdicción de baja tributación, sin explicar el motivo de negocio, y le pide que no lo documente como "transferencia recurrente" sino como pagos individuales distintos cada vez.</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¿Qué señales de alerta identifica en esta situación?</w:t>
      </w:r>
    </w:p>
    <w:p>
      <w:pPr>
        <w:spacing w:after="60"/>
      </w:pPr>
      <w:r>
        <w:rPr>
          <w:rFonts w:ascii="Calibri" w:cs="Calibri" w:eastAsia="Calibri" w:hAnsi="Calibri"/>
          <w:sz w:val="21"/>
          <w:szCs w:val="21"/>
        </w:rPr>
        <w:t xml:space="preserve">2. ¿Bajo qué inciso de la Fracción XI se ubica el servicio que presta Julio?</w:t>
      </w:r>
    </w:p>
    <w:p>
      <w:pPr>
        <w:spacing w:after="60"/>
      </w:pPr>
      <w:r>
        <w:rPr>
          <w:rFonts w:ascii="Calibri" w:cs="Calibri" w:eastAsia="Calibri" w:hAnsi="Calibri"/>
          <w:sz w:val="21"/>
          <w:szCs w:val="21"/>
        </w:rPr>
        <w:t xml:space="preserve">3. ¿Qué debe hacer Julio antes de continuar ejecutando las transferencias?</w:t>
      </w:r>
    </w:p>
    <w:p>
      <w:pPr>
        <w:spacing w:after="60"/>
      </w:pPr>
      <w:r>
        <w:rPr>
          <w:rFonts w:ascii="Calibri" w:cs="Calibri" w:eastAsia="Calibri" w:hAnsi="Calibri"/>
          <w:sz w:val="21"/>
          <w:szCs w:val="21"/>
        </w:rPr>
        <w:t xml:space="preserve">4. ¿Se activa la obligación de aviso en este caso?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Se identifican al menos tres señales de alerta: (1) transferencias recurrentes hacia una jurisdicción de baja tributación sin justificación de negocio, (2) fraccionamiento en montos similares por debajo de umbrales de reporte, y (3) la solicitud explícita del cliente de no documentarlas como una serie, lo cual es en sí mismo un indicio de intento de evadir controles. El servicio se ubica en el inciso b) — administración y manejo de recursos del cliente. Julio debe documentar la alerta conforme al catálogo del D9-PROF, evaluar la abstención del artículo 21 si el cliente se niega a explicar el destino de los recursos, y escalar internamente antes de ejecutar más transferencias. Dado que Julio ejecuta las transferencias en nombre y representación del cliente (administra la cuenta), se activan dos obligaciones de aviso: (1) el Aviso por sospecha, dentro de las 24 horas siguientes a la detección (Art. 18, fracc. VI), y (2) el Aviso de las operaciones financieras que Julio ejecuta en representación del cliente (D1-PROF Sección II.2), a más tardar el día 17 del mes siguiente (Art. 23).</w:t>
            </w:r>
          </w:p>
        </w:tc>
      </w:tr>
    </w:tbl>
    <w:p>
      <w:pPr>
        <w:spacing w:after="100"/>
      </w:pPr>
      <w:r>
        <w:rPr>
          <w:rFonts w:ascii="Calibri" w:cs="Calibri" w:eastAsia="Calibri" w:hAnsi="Calibri"/>
          <w:sz w:val="21"/>
          <w:szCs w:val="21"/>
        </w:rPr>
        <w:t xml:space="preserve"/>
      </w:r>
    </w:p>
    <w:p>
      <w:pPr>
        <w:spacing w:after="90" w:before="150"/>
      </w:pPr>
      <w:r>
        <w:rPr>
          <w:rFonts w:ascii="Calibri" w:cs="Calibri" w:eastAsia="Calibri" w:hAnsi="Calibri"/>
          <w:b/>
          <w:bCs/>
          <w:sz w:val="21"/>
          <w:szCs w:val="21"/>
        </w:rPr>
        <w:t xml:space="preserve">Caso 3: La sociedad extranjera en cascada</w:t>
      </w:r>
    </w:p>
    <w:p>
      <w:pPr>
        <w:spacing w:after="110"/>
      </w:pPr>
      <w:r>
        <w:rPr>
          <w:rFonts w:ascii="Calibri" w:cs="Calibri" w:eastAsia="Calibri" w:hAnsi="Calibri"/>
          <w:i/>
          <w:iCs/>
          <w:sz w:val="19"/>
          <w:szCs w:val="19"/>
        </w:rPr>
        <w:t xml:space="preserve">Módulo 3 — Beneficiario Controlador</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El despacho de abogados Ríos y Asociados constituye una sociedad mercantil cuyo único socio fundador es otra persona moral constituida en una jurisdicción extranjera de baja tributación. El pasante que integra el expediente considera que basta con los datos del apoderado que comparece a firmar el acta constitutiva, "porque el socio es una empresa, no una persona física".</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¿Es correcto el razonamiento del pasante?</w:t>
      </w:r>
    </w:p>
    <w:p>
      <w:pPr>
        <w:spacing w:after="60"/>
      </w:pPr>
      <w:r>
        <w:rPr>
          <w:rFonts w:ascii="Calibri" w:cs="Calibri" w:eastAsia="Calibri" w:hAnsi="Calibri"/>
          <w:sz w:val="21"/>
          <w:szCs w:val="21"/>
        </w:rPr>
        <w:t xml:space="preserve">2. ¿Bajo qué inciso de la Fracción XI se ubica este servicio?</w:t>
      </w:r>
    </w:p>
    <w:p>
      <w:pPr>
        <w:spacing w:after="60"/>
      </w:pPr>
      <w:r>
        <w:rPr>
          <w:rFonts w:ascii="Calibri" w:cs="Calibri" w:eastAsia="Calibri" w:hAnsi="Calibri"/>
          <w:sz w:val="21"/>
          <w:szCs w:val="21"/>
        </w:rPr>
        <w:t xml:space="preserve">3. ¿Qué obligación adicional surge por tratarse de una estructura en cascada?</w:t>
      </w:r>
    </w:p>
    <w:p>
      <w:pPr>
        <w:spacing w:after="60"/>
      </w:pPr>
      <w:r>
        <w:rPr>
          <w:rFonts w:ascii="Calibri" w:cs="Calibri" w:eastAsia="Calibri" w:hAnsi="Calibri"/>
          <w:sz w:val="21"/>
          <w:szCs w:val="21"/>
        </w:rPr>
        <w:t xml:space="preserve">4. ¿Qué nivel de riesgo asignarías conforme al D6-PROF?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No es correcto. El servicio se ubica en el inciso e) — constitución de personas morales o vehículos corporativos. Conforme al artículo 18, fracción III, cuando el cliente (o, en este caso, el socio fundador) es persona moral, se recaban los documentos que permitan identificar a la persona física que en última instancia ejerce el control efectivo — el beneficiario controlador — conforme al orden de prelación del artículo 23 Quinquies RCG (25% o más del capital; control por otros medios; funcionario de mayor grado); no basta con los datos del apoderado que comparece a firmar, que es solo representante del acto. Una estructura en cascada con un socio extranjero de jurisdicción de baja tributación dificulta identificar el control final y debe documentarse en la Sección E del D7-PROF antes de continuar con el servicio. Conforme al D6-PROF, esta combinación (Factor 1 — estructura compleja, Factor 5 — jurisdicción de riesgo) amerita clasificación de riesgo ALTO y debida diligencia reforzada (el art. 23 Bis 4 RCG exige clasificar como alto, al menos, a los no residentes vinculados con jurisdicciones de régimen fiscal preferente).</w:t>
            </w:r>
          </w:p>
        </w:tc>
      </w:tr>
    </w:tbl>
    <w:p>
      <w:pPr>
        <w:spacing w:after="100"/>
      </w:pPr>
      <w:r>
        <w:rPr>
          <w:rFonts w:ascii="Calibri" w:cs="Calibri" w:eastAsia="Calibri" w:hAnsi="Calibri"/>
          <w:sz w:val="21"/>
          <w:szCs w:val="21"/>
        </w:rPr>
        <w:t xml:space="preserve"/>
      </w:r>
    </w:p>
    <w:p>
      <w:pPr>
        <w:spacing w:after="90" w:before="150"/>
      </w:pPr>
      <w:r>
        <w:rPr>
          <w:rFonts w:ascii="Calibri" w:cs="Calibri" w:eastAsia="Calibri" w:hAnsi="Calibri"/>
          <w:b/>
          <w:bCs/>
          <w:sz w:val="21"/>
          <w:szCs w:val="21"/>
        </w:rPr>
        <w:t xml:space="preserve">Caso 4: El aportante que resultó ser funcionario</w:t>
      </w:r>
    </w:p>
    <w:p>
      <w:pPr>
        <w:spacing w:after="110"/>
      </w:pPr>
      <w:r>
        <w:rPr>
          <w:rFonts w:ascii="Calibri" w:cs="Calibri" w:eastAsia="Calibri" w:hAnsi="Calibri"/>
          <w:i/>
          <w:iCs/>
          <w:sz w:val="19"/>
          <w:szCs w:val="19"/>
        </w:rPr>
        <w:t xml:space="preserve">Módulo 4 — PEP's</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El despacho de asesoría corporativa Medina Consultores organiza las aportaciones de capital para la constitución de una nueva sociedad con cinco socios. Al revisar la documentación, uno de los aportantes resulta ser Director de Adquisiciones de una dependencia estatal. El asociado a cargo del expediente considera que, como "solo está aportando capital a un negocio privado, no es relevante su cargo público".</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¿Es correcto el razonamiento del asociado?</w:t>
      </w:r>
    </w:p>
    <w:p>
      <w:pPr>
        <w:spacing w:after="60"/>
      </w:pPr>
      <w:r>
        <w:rPr>
          <w:rFonts w:ascii="Calibri" w:cs="Calibri" w:eastAsia="Calibri" w:hAnsi="Calibri"/>
          <w:sz w:val="21"/>
          <w:szCs w:val="21"/>
        </w:rPr>
        <w:t xml:space="preserve">2. ¿Es el aportante un PEP conforme a la LFPIORPI?</w:t>
      </w:r>
    </w:p>
    <w:p>
      <w:pPr>
        <w:spacing w:after="60"/>
      </w:pPr>
      <w:r>
        <w:rPr>
          <w:rFonts w:ascii="Calibri" w:cs="Calibri" w:eastAsia="Calibri" w:hAnsi="Calibri"/>
          <w:sz w:val="21"/>
          <w:szCs w:val="21"/>
        </w:rPr>
        <w:t xml:space="preserve">3. ¿Qué medidas de debida diligencia reforzada corresponden?</w:t>
      </w:r>
    </w:p>
    <w:p>
      <w:pPr>
        <w:spacing w:after="60"/>
      </w:pPr>
      <w:r>
        <w:rPr>
          <w:rFonts w:ascii="Calibri" w:cs="Calibri" w:eastAsia="Calibri" w:hAnsi="Calibri"/>
          <w:sz w:val="21"/>
          <w:szCs w:val="21"/>
        </w:rPr>
        <w:t xml:space="preserve">4. ¿Puede el asociado autorizar el expediente sin escalar?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El razonamiento es incorrecto — la calidad de PEP se evalúa respecto de la persona, sin importar si el contexto es un negocio privado. Un Director de Adquisiciones de una dependencia estatal puede calificar como PEP (funcionario gubernamental de alta jerarquía, art. 23 Quáter RCG), lo que se determina según su rango y funciones; ante la duda razonable se trata como PEP mientras se documenta la determinación. Corresponden medidas de debida diligencia reforzada: verificación de que el monto aportado sea congruente con los ingresos declarados del funcionario, solicitud de declaración patrimonial o fiscal, y documentación reforzada en el expediente KYC (Sección F, D7-PROF). El asociado NO puede autorizar el expediente por su cuenta — debe escalar al Representante de Cumplimiento (o al profesional titular si es persona física) conforme a la Política D8-PROF.</w:t>
            </w:r>
          </w:p>
        </w:tc>
      </w:tr>
    </w:tbl>
    <w:p>
      <w:pPr>
        <w:spacing w:after="100"/>
      </w:pPr>
      <w:r>
        <w:rPr>
          <w:rFonts w:ascii="Calibri" w:cs="Calibri" w:eastAsia="Calibri" w:hAnsi="Calibri"/>
          <w:sz w:val="21"/>
          <w:szCs w:val="21"/>
        </w:rPr>
        <w:t xml:space="preserve"/>
      </w:r>
    </w:p>
    <w:p>
      <w:pPr>
        <w:spacing w:after="90" w:before="150"/>
      </w:pPr>
      <w:r>
        <w:rPr>
          <w:rFonts w:ascii="Calibri" w:cs="Calibri" w:eastAsia="Calibri" w:hAnsi="Calibri"/>
          <w:b/>
          <w:bCs/>
          <w:sz w:val="21"/>
          <w:szCs w:val="21"/>
        </w:rPr>
        <w:t xml:space="preserve">Caso 5: El abogado que solo redactó el contrato</w:t>
      </w:r>
    </w:p>
    <w:p>
      <w:pPr>
        <w:spacing w:after="110"/>
      </w:pPr>
      <w:r>
        <w:rPr>
          <w:rFonts w:ascii="Calibri" w:cs="Calibri" w:eastAsia="Calibri" w:hAnsi="Calibri"/>
          <w:i/>
          <w:iCs/>
          <w:sz w:val="19"/>
          <w:szCs w:val="19"/>
        </w:rPr>
        <w:t xml:space="preserve">Módulo 5 — Preparación vs. Representación</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El abogado Torres redacta, a solicitud de su cliente, un contrato de compraventa de un inmueble comercial de $3,000,000 MXN. El abogado no comparece ante el notario ni ante el banco; su cliente firma directamente y gestiona el pago por su cuenta. Dos semanas después, el mismo cliente le pide a Torres que lo represente ante el banco para finalizar una transferencia relacionada con el saldo pendiente de esa misma compraventa.</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¿Se activó el deber de identificación desde que Torres redactó el contrato?</w:t>
      </w:r>
    </w:p>
    <w:p>
      <w:pPr>
        <w:spacing w:after="60"/>
      </w:pPr>
      <w:r>
        <w:rPr>
          <w:rFonts w:ascii="Calibri" w:cs="Calibri" w:eastAsia="Calibri" w:hAnsi="Calibri"/>
          <w:sz w:val="21"/>
          <w:szCs w:val="21"/>
        </w:rPr>
        <w:t xml:space="preserve">2. ¿Se activó el deber de aviso en la primera etapa (solo redacción)?</w:t>
      </w:r>
    </w:p>
    <w:p>
      <w:pPr>
        <w:spacing w:after="60"/>
      </w:pPr>
      <w:r>
        <w:rPr>
          <w:rFonts w:ascii="Calibri" w:cs="Calibri" w:eastAsia="Calibri" w:hAnsi="Calibri"/>
          <w:sz w:val="21"/>
          <w:szCs w:val="21"/>
        </w:rPr>
        <w:t xml:space="preserve">3. ¿Cambia algo cuando Torres acepta representar al cliente ante el banco?</w:t>
      </w:r>
    </w:p>
    <w:p>
      <w:pPr>
        <w:spacing w:after="60"/>
      </w:pPr>
      <w:r>
        <w:rPr>
          <w:rFonts w:ascii="Calibri" w:cs="Calibri" w:eastAsia="Calibri" w:hAnsi="Calibri"/>
          <w:sz w:val="21"/>
          <w:szCs w:val="21"/>
        </w:rPr>
        <w:t xml:space="preserve">4. ¿Cómo influye la calificante de secreto profesional y garantía de defensa en este caso?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Sí — el deber de identificación se activó desde que Torres se PREPARÓ para el cliente en una operación del inciso a) (compraventa de inmueble), independientemente de que no haya comparecido ante nadie; debió integrar expediente KYC desde ese momento. En la primera etapa, como Torres no actuó en nombre y representación del cliente, NO se activó por sí sola la obligación de aviso (D1-PROF, Sección II.2). Esto cambia en el segundo momento: al representar al cliente ante el banco para ejecutar la transferencia —una operación financiera relacionada con el inciso a)—, Torres lleva a cabo una operación sujeta a Aviso ante la Secretaría, a más tardar el día 17 del mes siguiente (art. 23), y no antes. Si en cualquier etapa surgiera una sospecha, el Aviso sería de 24 horas (art. 18, fr. VI). La calificante de secreto profesional y garantía de defensa (Art. 17, fracc. XI in fine) no exime a Torres de identificar al cliente ni de avisar cuando corresponde — modula cómo se ejerce esa obligación, no si existe, y es particularmente relevante si la información en juego estuviera vinculada a una estrategia de defensa legal del cliente (criterio del D1-PROF, Sección IV).</w:t>
            </w:r>
          </w:p>
        </w:tc>
      </w:tr>
    </w:tbl>
    <w:p>
      <w:pPr>
        <w:spacing w:after="100"/>
      </w:pPr>
      <w:r>
        <w:rPr>
          <w:rFonts w:ascii="Calibri" w:cs="Calibri" w:eastAsia="Calibri" w:hAnsi="Calibri"/>
          <w:sz w:val="21"/>
          <w:szCs w:val="21"/>
        </w:rPr>
        <w:t xml:space="preserve"/>
      </w:r>
    </w:p>
    <w:p>
      <w:pPr>
        <w:spacing w:after="90" w:before="150"/>
      </w:pPr>
      <w:r>
        <w:rPr>
          <w:rFonts w:ascii="Calibri" w:cs="Calibri" w:eastAsia="Calibri" w:hAnsi="Calibri"/>
          <w:b/>
          <w:bCs/>
          <w:sz w:val="21"/>
          <w:szCs w:val="21"/>
        </w:rPr>
        <w:t xml:space="preserve">Caso 6: El aviso que se quedó pendiente</w:t>
      </w:r>
    </w:p>
    <w:p>
      <w:pPr>
        <w:spacing w:after="110"/>
      </w:pPr>
      <w:r>
        <w:rPr>
          <w:rFonts w:ascii="Calibri" w:cs="Calibri" w:eastAsia="Calibri" w:hAnsi="Calibri"/>
          <w:i/>
          <w:iCs/>
          <w:sz w:val="19"/>
          <w:szCs w:val="19"/>
        </w:rPr>
        <w:t xml:space="preserve">Módulo 6 — Reportes y Avisos</w:t>
      </w:r>
    </w:p>
    <w:p>
      <w:pPr>
        <w:spacing w:after="60"/>
      </w:pPr>
      <w:r>
        <w:rPr>
          <w:rFonts w:ascii="Calibri" w:cs="Calibri" w:eastAsia="Calibri" w:hAnsi="Calibri"/>
          <w:b/>
          <w:bCs/>
          <w:sz w:val="21"/>
          <w:szCs w:val="21"/>
        </w:rPr>
        <w:t xml:space="preserve">Situación</w:t>
      </w:r>
    </w:p>
    <w:p>
      <w:pPr>
        <w:spacing w:after="110"/>
      </w:pPr>
      <w:r>
        <w:rPr>
          <w:rFonts w:ascii="Calibri" w:cs="Calibri" w:eastAsia="Calibri" w:hAnsi="Calibri"/>
          <w:sz w:val="21"/>
          <w:szCs w:val="21"/>
        </w:rPr>
        <w:t xml:space="preserve">Es día 20 del mes. El Representante de Cumplimiento del despacho revisa el control de avisos (D12-PROF) y descubre que el mes anterior el despacho constituyó una sociedad actuando en representación de los socios y, en su nombre, abrió la cuenta de la sociedad y depositó las aportaciones de capital (inciso e), pero el aviso nunca se presentó porque "como no hay umbral en esta fracción, no quedó claro si aplicaba". Un asociado sugiere "mejor no presentarlo tarde, para no generar una alerta innecesaria".</w:t>
      </w:r>
    </w:p>
    <w:p>
      <w:pPr>
        <w:spacing w:after="60"/>
      </w:pPr>
      <w:r>
        <w:rPr>
          <w:rFonts w:ascii="Calibri" w:cs="Calibri" w:eastAsia="Calibri" w:hAnsi="Calibri"/>
          <w:b/>
          <w:bCs/>
          <w:sz w:val="21"/>
          <w:szCs w:val="21"/>
        </w:rPr>
        <w:t xml:space="preserve">Preguntas de análisis</w:t>
      </w:r>
    </w:p>
    <w:p>
      <w:pPr>
        <w:spacing w:after="60"/>
      </w:pPr>
      <w:r>
        <w:rPr>
          <w:rFonts w:ascii="Calibri" w:cs="Calibri" w:eastAsia="Calibri" w:hAnsi="Calibri"/>
          <w:sz w:val="21"/>
          <w:szCs w:val="21"/>
        </w:rPr>
        <w:t xml:space="preserve">1. ¿Es correcta la recomendación del asociado?</w:t>
      </w:r>
    </w:p>
    <w:p>
      <w:pPr>
        <w:spacing w:after="60"/>
      </w:pPr>
      <w:r>
        <w:rPr>
          <w:rFonts w:ascii="Calibri" w:cs="Calibri" w:eastAsia="Calibri" w:hAnsi="Calibri"/>
          <w:sz w:val="21"/>
          <w:szCs w:val="21"/>
        </w:rPr>
        <w:t xml:space="preserve">2. ¿Qué exposición tiene el despacho por la omisión ya ocurrida?</w:t>
      </w:r>
    </w:p>
    <w:p>
      <w:pPr>
        <w:spacing w:after="60"/>
      </w:pPr>
      <w:r>
        <w:rPr>
          <w:rFonts w:ascii="Calibri" w:cs="Calibri" w:eastAsia="Calibri" w:hAnsi="Calibri"/>
          <w:sz w:val="21"/>
          <w:szCs w:val="21"/>
        </w:rPr>
        <w:t xml:space="preserve">3. ¿Cambia algo si el despacho presenta el aviso de forma espontánea?</w:t>
      </w:r>
    </w:p>
    <w:p>
      <w:pPr>
        <w:spacing w:after="60"/>
      </w:pPr>
      <w:r>
        <w:rPr>
          <w:rFonts w:ascii="Calibri" w:cs="Calibri" w:eastAsia="Calibri" w:hAnsi="Calibri"/>
          <w:sz w:val="21"/>
          <w:szCs w:val="21"/>
        </w:rPr>
        <w:t xml:space="preserve">4. ¿Qué debe registrarse en el D12-PROF para evitar que esto se repita?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D9D9D9" w:val="clear"/>
            <w:tcMar>
              <w:top w:type="dxa" w:w="60"/>
              <w:left w:type="dxa" w:w="100"/>
              <w:bottom w:type="dxa" w:w="60"/>
              <w:right w:type="dxa" w:w="100"/>
            </w:tcMar>
            <w:vAlign w:val="center"/>
          </w:tcPr>
          <w:p>
            <w:pPr>
              <w:spacing w:after="60"/>
            </w:pPr>
            <w:r>
              <w:rPr>
                <w:rFonts w:ascii="Calibri" w:cs="Calibri" w:eastAsia="Calibri" w:hAnsi="Calibri"/>
                <w:b/>
                <w:bCs/>
                <w:sz w:val="21"/>
                <w:szCs w:val="21"/>
              </w:rPr>
              <w:t xml:space="preserve">RESPUESTA MODELO — Certus PLD</w:t>
            </w:r>
          </w:p>
        </w:tc>
      </w:tr>
      <w:tr>
        <w:tc>
          <w:tcPr>
            <w:tcW w:type="dxa" w:w="9500"/>
            <w:tcMar>
              <w:top w:type="dxa" w:w="60"/>
              <w:left w:type="dxa" w:w="100"/>
              <w:bottom w:type="dxa" w:w="60"/>
              <w:right w:type="dxa" w:w="100"/>
            </w:tcMar>
            <w:vAlign w:val="center"/>
          </w:tcPr>
          <w:p>
            <w:pPr>
              <w:spacing w:after="0"/>
            </w:pPr>
            <w:r>
              <w:rPr>
                <w:rFonts w:ascii="Calibri" w:cs="Calibri" w:eastAsia="Calibri" w:hAnsi="Calibri"/>
                <w:sz w:val="19"/>
                <w:szCs w:val="19"/>
              </w:rPr>
              <w:t xml:space="preserve">La recomendación es incorrecta y riesgosa. No presentar el aviso agrava la exposición: si la Secretaría lo detecta primero, se pierde la posibilidad de acogerse a la actuación espontánea del artículo 55. El despacho SÍ actuó en representación de los socios (abrió la cuenta y depositó las aportaciones en su nombre: operación financiera), por lo que el aviso era obligatorio. Presentado dentro de los 30 días siguientes al plazo, es extemporáneo y se sanciona con 200 a 2,000 UMA (Arts. 53, fracc. III, y 54, fracc. I); si pasan más de 30 días, se trata como omisión: 10,000 a 65,000 UMA o 10% a 100% del valor de la operación (Arts. 53, fracc. VI, y 54, fracc. III). Si el despacho lo presenta de forma espontánea y reconoce la falta antes de que inicien las facultades de verificación, la Secretaría se abstiene de sancionar por única ocasión; si ya ejerció ese beneficio, la multa se reduce hasta un 50% (Art. 55). Para que no vuelva a ocurrir, el D12-PROF debe registrar, para cada servicio, la columna "¿Representación?" desde el día del servicio, sin esperar a evaluar montos — porque en la Fracción XI la representación, no el monto, es lo que determina el aviso.</w:t>
            </w:r>
          </w:p>
        </w:tc>
      </w:tr>
    </w:tbl>
    <w:p>
      <w:pPr>
        <w:spacing w:after="100"/>
      </w:pPr>
      <w:r>
        <w:rPr>
          <w:rFonts w:ascii="Calibri" w:cs="Calibri" w:eastAsia="Calibri" w:hAnsi="Calibri"/>
          <w:sz w:val="21"/>
          <w:szCs w:val="21"/>
        </w:rPr>
        <w:t xml:space="preserve"/>
      </w:r>
    </w:p>
    <w:p>
      <w:pPr>
        <w:spacing w:after="110"/>
      </w:pPr>
      <w:r>
        <w:rPr>
          <w:rFonts w:ascii="Calibri" w:cs="Calibri" w:eastAsia="Calibri" w:hAnsi="Calibri"/>
          <w:sz w:val="16"/>
          <w:szCs w:val="16"/>
        </w:rPr>
        <w:t xml:space="preserve">CERTUS CONSULTORES  |  Certus PLD  |  Mérida, Yucatán  |  999 163 1363</w:t>
      </w:r>
    </w:p>
    <w:sectPr>
      <w:pgSz w:w="12240" w:h="15840" w:orient="portrait"/>
      <w:pgMar w:top="70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2026-09-10T21:05:41.586Z</dcterms:created>
  <dcterms:modified xsi:type="dcterms:W3CDTF">2026-09-10T21:05:41.586Z</dcterms:modified>
</cp:coreProperties>
</file>

<file path=docProps/custom.xml><?xml version="1.0" encoding="utf-8"?>
<Properties xmlns="http://schemas.openxmlformats.org/officeDocument/2006/custom-properties" xmlns:vt="http://schemas.openxmlformats.org/officeDocument/2006/docPropsVTypes"/>
</file>