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CERTUS PLD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│ 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D3-PROF Expediente de Registro ante el SAT — Portal SPPLD (Servicios Profesionales)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Profesional / Despacho: [Nombre]   │   Variante: Servicios Profesionales — Fracción XI LFPIORPI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I. Información general del trámite</w:t>
      </w:r>
    </w:p>
    <w:p>
      <w:pPr>
        <w:spacing w:after="110"/>
      </w:pPr>
      <w:r>
        <w:rPr>
          <w:rFonts w:ascii="Calibri" w:cs="Calibri" w:eastAsia="Calibri" w:hAnsi="Calibri"/>
          <w:sz w:val="21"/>
          <w:szCs w:val="21"/>
        </w:rPr>
        <w:t xml:space="preserve">El alta ante el SAT a través del portal SPPLD es una obligación legal establecida en el artículo 18, fracción IV Bis, de la LFPIORPI y en el artículo 4 de las Reglas de Carácter General. Si el sujeto obligado es persona física (profesional independiente), el registro es PERSONAL, conforme al artículo 20, último párrafo — no existe la figura de "Representante Legal" que registre al profesional como si fuera una empresa (ver D2-PROF-PF). Si es un despacho (persona moral), el registro se realiza a nombre del despacho, con su Representante de Cumplimiento (D2-PROF-PM). Regularizar el registro antes del inicio de las facultades de verificación es relevante para el beneficio del artículo 55 (abstención de sanción por única ocasión; reducción de hasta 50% si ya se ejerció), por lo que la fecha de registro debe quedar documentada.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II. Requisitos documentales</w:t>
      </w:r>
    </w:p>
    <w:p>
      <w:pPr>
        <w:spacing w:after="90" w:before="1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2.1 Si profesional independiente (persona física) — documentos personales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• Cédula profesional (abogacía, contaduría u otra)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• Identificación oficial vigente (INE/IFE o pasaporte) y CURP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• RFC — Constancia de situación fiscal vigente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• Comprobante de domicilio del despacho o práctica profesional (no mayor a 3 meses)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• e.firma vigente del profesional (persona física) — no de una persona moral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• Constancia de Asunción Personal (D2-PROF-PF) firmada</w:t>
      </w:r>
    </w:p>
    <w:p>
      <w:pPr>
        <w:spacing w:after="90" w:before="1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2.2 Si despacho (persona moral) — documentos corporativos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• Acta constitutiva (copia simple + copia certificada)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• Poder notarial del Representante Legal vigente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• Identificación oficial del Representante Legal y e.firma vigente del despacho, asociada a su propio RFC (no puede utilizarse la de su representante legal, art. 4 RCG)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• Comprobante de domicilio fiscal (no mayor a 3 meses)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• Constancia de situación fiscal vigente (RFC)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• Acta de Designación del Representante de Cumplimiento (D2-PROF-PM)</w:t>
      </w:r>
    </w:p>
    <w:p>
      <w:pPr>
        <w:spacing w:after="90" w:before="1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2.3 Documentos de la actividad regulada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• Descripción de los servicios profesionales prestados relacionados con los incisos a) a e) de la Fracción XI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• Declaración de los incisos aplicables al giro del profesional o despacho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III. Proceso de registro paso a paso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2600"/>
        <w:gridCol w:w="1200"/>
      </w:tblGrid>
      <w:tr>
        <w:tc>
          <w:tcPr>
            <w:tcW w:type="dxa" w:w="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Paso</w:t>
            </w:r>
          </w:p>
        </w:tc>
        <w:tc>
          <w:tcPr>
            <w:tcW w:type="dxa" w:w="4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Acción</w:t>
            </w:r>
          </w:p>
        </w:tc>
        <w:tc>
          <w:tcPr>
            <w:tcW w:type="dxa" w:w="2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Plazo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Ingresar al portal https://ppld.sat.gob.mx con e.firma (personal si es PF; del despacho si es PM)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Profesional Titular / Repr. Legal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Día 1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Seleccionar "Alta de Sujeto Obligado" — Actividad: Servicios Profesionales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Profesional Titular / Repr. Legal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Día 1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Capturar los incisos de la Fracc. XI (a-e) aplicables al giro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Profesional Titular / Repr. Cumpl.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Día 1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 datos del Representante de Cumplimiento (si despacho); el Representante acepta la designación en el Portal con su RFC y e.firma (art. 10 RCG)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Repr. Cumpl.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Día 1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Adjuntar documentación digitalizada en los formatos y medios que determine la Secretaría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Profesional / Repr. Cumpl.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Día 1-2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Enviar solicitud y obtener acuse de recibo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Profesional Titular / Repr. Cumpl.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Día 2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Recibir la notificación de registro y el número asignado por el SAT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Según notificación del SAT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Archivar constancia de registro en expediente Certus PLD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Repr. Cumpl. / Profesional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Día 8</w:t>
            </w:r>
          </w:p>
        </w:tc>
      </w:tr>
    </w:tbl>
    <w:p>
      <w:pP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IV. Control de registro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Fecha de ingreso al portal: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Número de folio de solicitud: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Fecha de aprobación: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Número de registro SPPLD: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Usuario de acceso al portal: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Clave de acceso (referencia):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Resguardada en [ubicación segura]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Próxima actualización anual: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Soporte técnico Certus PLD: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contacto@certusconsultores.com.mx │ 999 163 1363</w:t>
            </w:r>
          </w:p>
        </w:tc>
      </w:tr>
    </w:tbl>
    <w:p>
      <w:pP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V. Obligaciones posteriores al registro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• Mantener actualizados los datos en el portal SPPLD ante cualquier cambio.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• Realizar la modificación o baja del registro cuando proceda (art. 18, fr. IV Bis) y mantener actualizada la información en los plazos que fijen las Reglas.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• Usar el portal SPPLD para presentar los Avisos cuando el profesional lleve a cabo, en nombre y representación del cliente, una operación financiera relacionada con los incisos a) a e) y, en todo caso, el Aviso por sospecha dentro de las 24 horas siguientes.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• Conservar constancia del registro y acuses durante 10 años.</w:t>
      </w:r>
    </w:p>
    <w:p>
      <w:pPr>
        <w:spacing w:after="110"/>
      </w:pPr>
      <w:r>
        <w:rPr>
          <w:rFonts w:ascii="Calibri" w:cs="Calibri" w:eastAsia="Calibri" w:hAnsi="Calibri"/>
          <w:sz w:val="20"/>
          <w:szCs w:val="20"/>
        </w:rPr>
        <w:t xml:space="preserve">Plazo posterior al alta: el Manual de Políticas Internas (D5-PROF) debe estar elaborado a los noventa días naturales del alta y registro (art. 37 RCG). La evaluación de riesgos, el Manual con su metodología y los mecanismos automatizados se exigen en las fechas de los transitorios del Acuerdo 115/2026 (ver D5-PROF, capítulo 21).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10"/>
      </w:pPr>
      <w:r>
        <w:rPr>
          <w:rFonts w:ascii="Calibri" w:cs="Calibri" w:eastAsia="Calibri" w:hAnsi="Calibri"/>
          <w:sz w:val="16"/>
          <w:szCs w:val="16"/>
        </w:rPr>
        <w:t xml:space="preserve">CERTUS CONSULTORES  |  Certus PLD  |  Mérida, Yucatán  |  999 163 1363</w:t>
      </w:r>
    </w:p>
    <w:sectPr>
      <w:pgSz w:w="12240" w:h="15840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2026-09-10T21:03:48.457Z</dcterms:created>
  <dcterms:modified xsi:type="dcterms:W3CDTF">2026-09-10T21:03:48.457Z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