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none"/>
              <w:bottom w:val="none"/>
              <w:right w:val="none"/>
            </w:tcBorders>
            <w:tcMar>
              <w:top w:type="dxa" w:w="60"/>
              <w:left w:type="dxa" w:w="100"/>
              <w:bottom w:type="dxa" w:w="60"/>
              <w:right w:type="dxa" w:w="100"/>
            </w:tcMar>
            <w:vAlign w:val="center"/>
          </w:tcPr>
          <w:p>
            <w:r>
              <w:rPr>
                <w:rFonts w:ascii="Calibri" w:cs="Calibri" w:eastAsia="Calibri" w:hAnsi="Calibri"/>
                <w:b/>
                <w:bCs/>
                <w:color w:val="1F3864"/>
                <w:sz w:val="24"/>
                <w:szCs w:val="24"/>
              </w:rPr>
              <w:t xml:space="preserve">CERTUS PLD</w:t>
            </w:r>
            <w:r>
              <w:rPr>
                <w:rFonts w:ascii="Calibri" w:cs="Calibri" w:eastAsia="Calibri" w:hAnsi="Calibri"/>
                <w:sz w:val="22"/>
                <w:szCs w:val="22"/>
              </w:rPr>
              <w:t xml:space="preserve">   │   </w:t>
            </w:r>
            <w:r>
              <w:rPr>
                <w:rFonts w:ascii="Calibri" w:cs="Calibri" w:eastAsia="Calibri" w:hAnsi="Calibri"/>
                <w:b/>
                <w:bCs/>
                <w:sz w:val="20"/>
                <w:szCs w:val="20"/>
              </w:rPr>
              <w:t xml:space="preserve">D5-PROF Manual de Cumplimiento PLD/FT — Servicios Profesionales</w:t>
            </w:r>
          </w:p>
          <w:p>
            <w:pPr>
              <w:spacing w:before="60"/>
            </w:pPr>
            <w:r>
              <w:rPr>
                <w:rFonts w:ascii="Calibri" w:cs="Calibri" w:eastAsia="Calibri" w:hAnsi="Calibri"/>
                <w:sz w:val="18"/>
                <w:szCs w:val="18"/>
              </w:rPr>
              <w:t xml:space="preserve">Profesional / Despacho: [Nombre]   │   Variante: Servicios Profesionales — Fracción XI LFPIORPI</w:t>
            </w:r>
          </w:p>
        </w:tc>
      </w:tr>
    </w:tbl>
    <w:p>
      <w:pPr>
        <w:spacing w:after="100"/>
      </w:pPr>
      <w:r>
        <w:rPr>
          <w:rFonts w:ascii="Calibri" w:cs="Calibri" w:eastAsia="Calibri" w:hAnsi="Calibri"/>
          <w:sz w:val="21"/>
          <w:szCs w:val="21"/>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Profesional / Despacho: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[Nombre]</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RFC:</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[RFC]</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Versión: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1.0 — [Fecha de adopción]</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Aprobó:</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[Profesional Titular / Órgano de administración]</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Elaboró:</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Certus Consultores │ Certus PLD</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Vigencia: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Un año — revisión anual obligatoria</w:t>
            </w:r>
          </w:p>
        </w:tc>
      </w:tr>
    </w:tbl>
    <w:p>
      <w:pPr>
        <w:spacing w:after="110"/>
      </w:pPr>
      <w:r>
        <w:rPr>
          <w:rFonts w:ascii="Calibri" w:cs="Calibri" w:eastAsia="Calibri" w:hAnsi="Calibri"/>
          <w:i/>
          <w:iCs/>
          <w:sz w:val="19"/>
          <w:szCs w:val="19"/>
        </w:rPr>
        <w:t xml:space="preserve">Índice: 1. Introducción y marco normativo │ 2. Objeto y alcance │ 3. Organización y responsabilidades │ 4. Identificación y KYC │ 5. Enfoque Basado en Riesgo (EBR) │ 6. PEP's y Beneficiario Controlador │ 7. Operaciones inusuales │ 8. Restricción de pagos en efectivo │ 9. Presentación de avisos │ 10. Resguardo documental │ 11. Capacitación │ 12. Auditoría interna │ 13. Perfil transaccional y alertas │ 14. Seguimiento y reevaluación │ 15. Listas de autoridades │ 16. Confidencialidad │ 17. Criterios de aceptación y terminación │ 18. Mecanismos automatizados │ 19. Selección y capacitación del personal │ 20. Alcance y secreto profesional │ 21. Calendario de entrada en vigor │ 22. Sanciones aplicables │ 23. Actualización │ 24. Glosario</w:t>
      </w:r>
    </w:p>
    <w:p>
      <w:pPr>
        <w:spacing w:after="110" w:before="220"/>
      </w:pPr>
      <w:r>
        <w:rPr>
          <w:rFonts w:ascii="Calibri" w:cs="Calibri" w:eastAsia="Calibri" w:hAnsi="Calibri"/>
          <w:b/>
          <w:bCs/>
          <w:color w:val="1F3864"/>
          <w:sz w:val="24"/>
          <w:szCs w:val="24"/>
        </w:rPr>
        <w:t xml:space="preserve">Capítulo 1: Introducción y Marco Normativo</w:t>
      </w:r>
    </w:p>
    <w:p>
      <w:pPr>
        <w:spacing w:after="110"/>
      </w:pPr>
      <w:r>
        <w:rPr>
          <w:rFonts w:ascii="Calibri" w:cs="Calibri" w:eastAsia="Calibri" w:hAnsi="Calibri"/>
          <w:sz w:val="21"/>
          <w:szCs w:val="21"/>
        </w:rPr>
        <w:t xml:space="preserve">El presente Manual es adoptado por el profesional o despacho en cumplimiento de las obligaciones establecidas en la LFPIORPI y su Reglamento reformado, diseñado específicamente para prestadores de servicios profesionales sujetos a la Fracción XI del artículo 17.</w:t>
      </w:r>
    </w:p>
    <w:p>
      <w:pPr>
        <w:spacing w:after="90" w:before="150"/>
      </w:pPr>
      <w:r>
        <w:rPr>
          <w:rFonts w:ascii="Calibri" w:cs="Calibri" w:eastAsia="Calibri" w:hAnsi="Calibri"/>
          <w:b/>
          <w:bCs/>
          <w:sz w:val="21"/>
          <w:szCs w:val="21"/>
        </w:rPr>
        <w:t xml:space="preserve">1.1 Base legal</w:t>
      </w:r>
    </w:p>
    <w:p>
      <w:pPr>
        <w:spacing w:after="70"/>
      </w:pPr>
      <w:r>
        <w:rPr>
          <w:rFonts w:ascii="Calibri" w:cs="Calibri" w:eastAsia="Calibri" w:hAnsi="Calibri"/>
          <w:sz w:val="21"/>
          <w:szCs w:val="21"/>
        </w:rPr>
        <w:t xml:space="preserve">• LFPIORPI — la Fracción XI no fue objeto de la reforma DOF 16/07/2025 y conserva su redacción previa</w:t>
      </w:r>
    </w:p>
    <w:p>
      <w:pPr>
        <w:spacing w:after="70"/>
      </w:pPr>
      <w:r>
        <w:rPr>
          <w:rFonts w:ascii="Calibri" w:cs="Calibri" w:eastAsia="Calibri" w:hAnsi="Calibri"/>
          <w:sz w:val="21"/>
          <w:szCs w:val="21"/>
        </w:rPr>
        <w:t xml:space="preserve">• Reglamento de la LFPIORPI — reforma DOF 27 de marzo de 2026</w:t>
      </w:r>
    </w:p>
    <w:p>
      <w:pPr>
        <w:spacing w:after="70"/>
      </w:pPr>
      <w:r>
        <w:rPr>
          <w:rFonts w:ascii="Calibri" w:cs="Calibri" w:eastAsia="Calibri" w:hAnsi="Calibri"/>
          <w:sz w:val="21"/>
          <w:szCs w:val="21"/>
        </w:rPr>
        <w:t xml:space="preserve">• Reglas de Carácter General — Acuerdo 115/2026 (DOF 07/08/2026)</w:t>
      </w:r>
    </w:p>
    <w:p>
      <w:pPr>
        <w:spacing w:after="70"/>
      </w:pPr>
      <w:r>
        <w:rPr>
          <w:rFonts w:ascii="Calibri" w:cs="Calibri" w:eastAsia="Calibri" w:hAnsi="Calibri"/>
          <w:sz w:val="21"/>
          <w:szCs w:val="21"/>
        </w:rPr>
        <w:t xml:space="preserve">• Fracción aplicable: XI — servicios profesionales independientes, incisos a) a e)</w:t>
      </w:r>
    </w:p>
    <w:p>
      <w:pPr>
        <w:spacing w:after="110" w:before="220"/>
      </w:pPr>
      <w:r>
        <w:rPr>
          <w:rFonts w:ascii="Calibri" w:cs="Calibri" w:eastAsia="Calibri" w:hAnsi="Calibri"/>
          <w:b/>
          <w:bCs/>
          <w:color w:val="1F3864"/>
          <w:sz w:val="24"/>
          <w:szCs w:val="24"/>
        </w:rPr>
        <w:t xml:space="preserve">Capítulo 2: Objeto y Alcance</w:t>
      </w:r>
    </w:p>
    <w:p>
      <w:pPr>
        <w:spacing w:after="110"/>
      </w:pPr>
      <w:r>
        <w:rPr>
          <w:rFonts w:ascii="Calibri" w:cs="Calibri" w:eastAsia="Calibri" w:hAnsi="Calibri"/>
          <w:sz w:val="21"/>
          <w:szCs w:val="21"/>
        </w:rPr>
        <w:t xml:space="preserve">Este Manual establece los procedimientos, políticas y controles internos para prevenir, detectar y reportar operaciones vinculadas con el lavado de dinero o financiamiento al terrorismo, respecto de los servicios que el profesional o despacho preste comprendidos en los incisos a) a e) de la Fracción XI.</w:t>
      </w:r>
    </w:p>
    <w:p>
      <w:pPr>
        <w:spacing w:after="110"/>
      </w:pPr>
      <w:r>
        <w:rPr>
          <w:rFonts w:ascii="Calibri" w:cs="Calibri" w:eastAsia="Calibri" w:hAnsi="Calibri"/>
          <w:sz w:val="20"/>
          <w:szCs w:val="20"/>
        </w:rPr>
        <w:t xml:space="preserve">Incisos que no se prestan (art. 37 Bis 2 RCG). El profesional o despacho hace constar que no presta servicios comprendidos en los siguientes incisos de la Fracción XI: [INCISOS QUE NO SE PRESTAN — a), b), c), d) y/o e)]. Respecto de ellos no establece políticas ni procedimientos específicos; si decide prestarlos, debe actualizar este Manual de manera previa a la realización de esos servicios. Las líneas de servicio que quedan fuera de los incisos a) a e) (por ejemplo, litigio y representación contenciosa, asesoría laboral, consultoría fiscal sin manejo de cuentas ni constitución de sociedades, auditoría contable sin administración de recursos del cliente) se listan en el capítulo 20.</w:t>
      </w:r>
    </w:p>
    <w:p>
      <w:pPr>
        <w:spacing w:after="110" w:before="220"/>
      </w:pPr>
      <w:r>
        <w:rPr>
          <w:rFonts w:ascii="Calibri" w:cs="Calibri" w:eastAsia="Calibri" w:hAnsi="Calibri"/>
          <w:b/>
          <w:bCs/>
          <w:color w:val="1F3864"/>
          <w:sz w:val="24"/>
          <w:szCs w:val="24"/>
        </w:rPr>
        <w:t xml:space="preserve">Capítulo 3: Organización y Responsabilidades</w:t>
      </w:r>
    </w:p>
    <w:p>
      <w:pPr>
        <w:spacing w:after="110"/>
      </w:pPr>
      <w:r>
        <w:rPr>
          <w:rFonts w:ascii="Calibri" w:cs="Calibri" w:eastAsia="Calibri" w:hAnsi="Calibri"/>
          <w:sz w:val="21"/>
          <w:szCs w:val="21"/>
        </w:rPr>
        <w:t xml:space="preserve">Si el profesional es persona física, cumple personal y directamente con las obligaciones de este Manual conforme al artículo 20, último párrafo (ver D2-PROF-PF). Si es un despacho (persona moral), designa un Representante de Cumplimiento registrable ante la Secretaría (D2-PROF-PM), con las facultades y responsabilidades ahí descritas.</w:t>
      </w:r>
    </w:p>
    <w:p>
      <w:pPr>
        <w:spacing w:after="110"/>
      </w:pPr>
      <w:r>
        <w:rPr>
          <w:rFonts w:ascii="Calibri" w:cs="Calibri" w:eastAsia="Calibri" w:hAnsi="Calibri"/>
          <w:sz w:val="20"/>
          <w:szCs w:val="20"/>
        </w:rPr>
        <w:t xml:space="preserve">Funciones del Representante de Cumplimiento (art. 37 Bis, fr. X, RCG): supervisar la aplicación de este Manual; determinar, por asunto y cliente, si el servicio se ubica en los incisos a) a e); decidir los casos de debida diligencia reforzada y de Aviso; presentar los Avisos; coordinar la capacitación y las auditorías; y guardar confidencialidad (arts. 38 de la Ley y 31 RCG). El Representante debe ser una persona física que acepta la designación en el Portal con su RFC y e.firma (art. 10 RCG) y recibir capacitación anual (art. 20 de la Ley). En tanto no haya Representante o la designación no sea aceptada, el cumplimiento corresponde a los integrantes del órgano de administración o al administrador único. El profesional persona física no puede delegar su responsabilidad; puede auxiliarse de un Encargado Operativo interno (D2-PROF-PF, sección III).</w:t>
      </w:r>
    </w:p>
    <w:p>
      <w:pPr>
        <w:spacing w:after="110" w:before="220"/>
      </w:pPr>
      <w:r>
        <w:rPr>
          <w:rFonts w:ascii="Calibri" w:cs="Calibri" w:eastAsia="Calibri" w:hAnsi="Calibri"/>
          <w:b/>
          <w:bCs/>
          <w:color w:val="1F3864"/>
          <w:sz w:val="24"/>
          <w:szCs w:val="24"/>
        </w:rPr>
        <w:t xml:space="preserve">Capítulo 4: Identificación y Conocimiento del Cliente (KYC)</w:t>
      </w:r>
    </w:p>
    <w:p>
      <w:pPr>
        <w:spacing w:after="110"/>
      </w:pPr>
      <w:r>
        <w:rPr>
          <w:rFonts w:ascii="Calibri" w:cs="Calibri" w:eastAsia="Calibri" w:hAnsi="Calibri"/>
          <w:sz w:val="21"/>
          <w:szCs w:val="21"/>
        </w:rPr>
        <w:t xml:space="preserve">Todo cliente para quien el profesional se prepare a realizar alguna operación de los incisos a) a e) debe ser identificado ANTES de prestar el servicio, sin importar el monto. Se integra un expediente KYC conforme al Documento D7-PROF.</w:t>
      </w:r>
    </w:p>
    <w:p>
      <w:pPr>
        <w:spacing w:after="90" w:before="150"/>
      </w:pPr>
      <w:r>
        <w:rPr>
          <w:rFonts w:ascii="Calibri" w:cs="Calibri" w:eastAsia="Calibri" w:hAnsi="Calibri"/>
          <w:b/>
          <w:bCs/>
          <w:sz w:val="21"/>
          <w:szCs w:val="21"/>
        </w:rPr>
        <w:t xml:space="preserve">4.1 Momento de sujeción por inciso — sin umbral monetario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00"/>
        <w:gridCol w:w="2700"/>
      </w:tblGrid>
      <w:tr>
        <w:tc>
          <w:tcPr>
            <w:tcW w:type="dxa" w:w="9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Inciso</w:t>
            </w:r>
          </w:p>
        </w:tc>
        <w:tc>
          <w:tcPr>
            <w:tcW w:type="dxa" w:w="32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Operación</w:t>
            </w:r>
          </w:p>
        </w:tc>
        <w:tc>
          <w:tcPr>
            <w:tcW w:type="dxa" w:w="27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Identificación</w:t>
            </w:r>
          </w:p>
        </w:tc>
        <w:tc>
          <w:tcPr>
            <w:tcW w:type="dxa" w:w="27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Aviso</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19"/>
                <w:szCs w:val="19"/>
              </w:rPr>
              <w:t xml:space="preserve">a)</w:t>
            </w:r>
          </w:p>
        </w:tc>
        <w:tc>
          <w:tcPr>
            <w:tcW w:type="dxa" w:w="3200"/>
            <w:tcMar>
              <w:top w:type="dxa" w:w="60"/>
              <w:left w:type="dxa" w:w="100"/>
              <w:bottom w:type="dxa" w:w="60"/>
              <w:right w:type="dxa" w:w="100"/>
            </w:tcMar>
            <w:vAlign w:val="center"/>
          </w:tcPr>
          <w:p>
            <w:pPr>
              <w:spacing w:after="0"/>
            </w:pPr>
            <w:r>
              <w:rPr>
                <w:rFonts w:ascii="Calibri" w:cs="Calibri" w:eastAsia="Calibri" w:hAnsi="Calibri"/>
                <w:sz w:val="19"/>
                <w:szCs w:val="19"/>
              </w:rPr>
              <w:t xml:space="preserve">Compraventa/cesión de inmuebles</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SIEMPRE, al preparar</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Solo si actúa en representación</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19"/>
                <w:szCs w:val="19"/>
              </w:rPr>
              <w:t xml:space="preserve">b)</w:t>
            </w:r>
          </w:p>
        </w:tc>
        <w:tc>
          <w:tcPr>
            <w:tcW w:type="dxa" w:w="3200"/>
            <w:tcMar>
              <w:top w:type="dxa" w:w="60"/>
              <w:left w:type="dxa" w:w="100"/>
              <w:bottom w:type="dxa" w:w="60"/>
              <w:right w:type="dxa" w:w="100"/>
            </w:tcMar>
            <w:vAlign w:val="center"/>
          </w:tcPr>
          <w:p>
            <w:pPr>
              <w:spacing w:after="0"/>
            </w:pPr>
            <w:r>
              <w:rPr>
                <w:rFonts w:ascii="Calibri" w:cs="Calibri" w:eastAsia="Calibri" w:hAnsi="Calibri"/>
                <w:sz w:val="19"/>
                <w:szCs w:val="19"/>
              </w:rPr>
              <w:t xml:space="preserve">Administración de recursos/activos</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SIEMPRE, al preparar</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Solo si actúa en representación</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19"/>
                <w:szCs w:val="19"/>
              </w:rPr>
              <w:t xml:space="preserve">c)</w:t>
            </w:r>
          </w:p>
        </w:tc>
        <w:tc>
          <w:tcPr>
            <w:tcW w:type="dxa" w:w="3200"/>
            <w:tcMar>
              <w:top w:type="dxa" w:w="60"/>
              <w:left w:type="dxa" w:w="100"/>
              <w:bottom w:type="dxa" w:w="60"/>
              <w:right w:type="dxa" w:w="100"/>
            </w:tcMar>
            <w:vAlign w:val="center"/>
          </w:tcPr>
          <w:p>
            <w:pPr>
              <w:spacing w:after="0"/>
            </w:pPr>
            <w:r>
              <w:rPr>
                <w:rFonts w:ascii="Calibri" w:cs="Calibri" w:eastAsia="Calibri" w:hAnsi="Calibri"/>
                <w:sz w:val="19"/>
                <w:szCs w:val="19"/>
              </w:rPr>
              <w:t xml:space="preserve">Manejo de cuentas bancarias</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SIEMPRE, al preparar</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Solo si actúa en representación</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19"/>
                <w:szCs w:val="19"/>
              </w:rPr>
              <w:t xml:space="preserve">d)</w:t>
            </w:r>
          </w:p>
        </w:tc>
        <w:tc>
          <w:tcPr>
            <w:tcW w:type="dxa" w:w="3200"/>
            <w:tcMar>
              <w:top w:type="dxa" w:w="60"/>
              <w:left w:type="dxa" w:w="100"/>
              <w:bottom w:type="dxa" w:w="60"/>
              <w:right w:type="dxa" w:w="100"/>
            </w:tcMar>
            <w:vAlign w:val="center"/>
          </w:tcPr>
          <w:p>
            <w:pPr>
              <w:spacing w:after="0"/>
            </w:pPr>
            <w:r>
              <w:rPr>
                <w:rFonts w:ascii="Calibri" w:cs="Calibri" w:eastAsia="Calibri" w:hAnsi="Calibri"/>
                <w:sz w:val="19"/>
                <w:szCs w:val="19"/>
              </w:rPr>
              <w:t xml:space="preserve">Aportaciones de capital</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SIEMPRE, al preparar</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Solo si actúa en representación</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19"/>
                <w:szCs w:val="19"/>
              </w:rPr>
              <w:t xml:space="preserve">e)</w:t>
            </w:r>
          </w:p>
        </w:tc>
        <w:tc>
          <w:tcPr>
            <w:tcW w:type="dxa" w:w="3200"/>
            <w:tcMar>
              <w:top w:type="dxa" w:w="60"/>
              <w:left w:type="dxa" w:w="100"/>
              <w:bottom w:type="dxa" w:w="60"/>
              <w:right w:type="dxa" w:w="100"/>
            </w:tcMar>
            <w:vAlign w:val="center"/>
          </w:tcPr>
          <w:p>
            <w:pPr>
              <w:spacing w:after="0"/>
            </w:pPr>
            <w:r>
              <w:rPr>
                <w:rFonts w:ascii="Calibri" w:cs="Calibri" w:eastAsia="Calibri" w:hAnsi="Calibri"/>
                <w:sz w:val="19"/>
                <w:szCs w:val="19"/>
              </w:rPr>
              <w:t xml:space="preserve">Constitución/fusión/administración de personas morales</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SIEMPRE, al preparar</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Solo si actúa en representación</w:t>
            </w:r>
          </w:p>
        </w:tc>
      </w:tr>
    </w:tbl>
    <w:p>
      <w:pPr>
        <w:spacing w:after="110"/>
      </w:pPr>
      <w:r>
        <w:rPr>
          <w:rFonts w:ascii="Calibri" w:cs="Calibri" w:eastAsia="Calibri" w:hAnsi="Calibri"/>
          <w:sz w:val="20"/>
          <w:szCs w:val="20"/>
        </w:rPr>
        <w:t xml:space="preserve">Identificación en la fase de preparación (art. 12 Bis RCG): quien prepara para un cliente cualquiera de las operaciones de la fracción XI puede integrar el expediente único de identificación solamente con los datos de los Anexos 3, 4, 4 Bis, 5, 6, 6 Bis, 7 Bis u 8 de las Reglas, según el tipo de cliente, y los relativos a la identificación de su representante, apoderados o de quienes realicen el acto a nombre de la persona moral. No se acepta la cédula profesional como identificación oficial. Los registros no se llevan bajo nombres ficticios o confidenciales (art. 23 RCG). Una vez al año se verifica que los expedientes de los clientes con relación de negocios estén completos y actualizados (art. 21 RCG). Si el cliente se niega a proporcionar la información o documentación necesaria, el profesional se abstiene, sin responsabilidad alguna, de prestar el servicio u operación (art. 21 de la Ley). Cuando existan indicios de que el cliente actúa por cuenta de otra persona sin haberlo declarado, se solicita la información que permita identificar al Beneficiario Controlador (art. 22 RCG).</w:t>
      </w:r>
    </w:p>
    <w:p>
      <w:pPr>
        <w:spacing w:after="110" w:before="220"/>
      </w:pPr>
      <w:r>
        <w:rPr>
          <w:rFonts w:ascii="Calibri" w:cs="Calibri" w:eastAsia="Calibri" w:hAnsi="Calibri"/>
          <w:b/>
          <w:bCs/>
          <w:color w:val="1F3864"/>
          <w:sz w:val="24"/>
          <w:szCs w:val="24"/>
        </w:rPr>
        <w:t xml:space="preserve">Capítulo 5: Enfoque Basado en Riesgo (EBR)</w:t>
      </w:r>
    </w:p>
    <w:p>
      <w:pPr>
        <w:spacing w:after="110"/>
      </w:pPr>
      <w:r>
        <w:rPr>
          <w:rFonts w:ascii="Calibri" w:cs="Calibri" w:eastAsia="Calibri" w:hAnsi="Calibri"/>
          <w:sz w:val="21"/>
          <w:szCs w:val="21"/>
        </w:rPr>
        <w:t xml:space="preserve">El profesional o despacho clasifica a sus clientes en tres niveles de riesgo (BAJO, MEDIO, ALTO) utilizando la Metodología EBR del Documento D6-PROF. A diferencia de otras variantes, el monto NO determina la obligación de aviso — solo es un indicador de riesgo dentro de la EBR.</w:t>
      </w:r>
    </w:p>
    <w:p>
      <w:pPr>
        <w:spacing w:after="110"/>
      </w:pPr>
      <w:r>
        <w:rPr>
          <w:rFonts w:ascii="Calibri" w:cs="Calibri" w:eastAsia="Calibri" w:hAnsi="Calibri"/>
          <w:sz w:val="20"/>
          <w:szCs w:val="20"/>
        </w:rPr>
        <w:t xml:space="preserve">Modelo de riesgo (arts. 23 Bis a 23 Bis 4 RCG). El modelo clasifica a cada cliente en Grado de Riesgo bajo, medio o alto, considerando como mínimo características inherentes (tipo de persona, giro, nacionalidad, residencia, fuentes de ingreso, naturaleza y propósito de la relación) y características transaccionales (tipo, volumen, frecuencia y monto de los servicios, contrapartes, origen y destino de los recursos). Se clasifican como riesgo alto, al menos, los clientes no residentes vinculados con jurisdicciones de régimen fiscal preferente o con deficiencias señaladas por organismos internacionales, y las Personas Políticamente Expuestas extranjeras (art. 23 Bis 4); para los PEP nacionales se determinan factores de riesgo adicionales (art. 23 Bis 3). El Grado de Riesgo se determina con la información del cliente y se reevalúa al menos cada seis meses, con mayor frecuencia a mayor riesgo (art. 23 Bis 1).</w:t>
      </w:r>
    </w:p>
    <w:p>
      <w:pPr>
        <w:spacing w:after="110"/>
      </w:pPr>
      <w:r>
        <w:rPr>
          <w:rFonts w:ascii="Calibri" w:cs="Calibri" w:eastAsia="Calibri" w:hAnsi="Calibri"/>
          <w:sz w:val="20"/>
          <w:szCs w:val="20"/>
        </w:rPr>
        <w:t xml:space="preserve">Medidas de debida diligencia por Grado de Riesgo. Riesgo bajo: medidas simplificadas (art. 17 RCG) con los datos mínimos de los Anexos, siempre que este Manual documente los criterios que justifican la clasificación. Riesgo medio: expediente de identificación completo conforme al art. 12 RCG (art. 17 Bis). Riesgo alto: debida diligencia reforzada (arts. 23 Ter 3 y 23 Ter 4 RCG): mayor información sobre el origen y destino de los recursos, cuestionario de identificación reforzada y monitoreo más estricto; si el cliente es además PEP, el profesional o el Representante deja constancia firmada de los motivos considerados (art. 23 Ter 5). Los criterios para aceptar, limitar o terminar la relación se describen en el capítulo 17.</w:t>
      </w:r>
    </w:p>
    <w:p>
      <w:pPr>
        <w:spacing w:after="110" w:before="220"/>
      </w:pPr>
      <w:r>
        <w:rPr>
          <w:rFonts w:ascii="Calibri" w:cs="Calibri" w:eastAsia="Calibri" w:hAnsi="Calibri"/>
          <w:b/>
          <w:bCs/>
          <w:color w:val="1F3864"/>
          <w:sz w:val="24"/>
          <w:szCs w:val="24"/>
        </w:rPr>
        <w:t xml:space="preserve">Capítulo 6: PEP's y Beneficiario Controlador</w:t>
      </w:r>
    </w:p>
    <w:p>
      <w:pPr>
        <w:spacing w:after="110"/>
      </w:pPr>
      <w:r>
        <w:rPr>
          <w:rFonts w:ascii="Calibri" w:cs="Calibri" w:eastAsia="Calibri" w:hAnsi="Calibri"/>
          <w:sz w:val="21"/>
          <w:szCs w:val="21"/>
        </w:rPr>
        <w:t xml:space="preserve">Se considera PEP a la persona física que desempeña o ha desempeñado funciones públicas en territorio nacional o en el extranjero (jefes de Estado o de gobierno, líderes políticos, funcionarios gubernamentales, judiciales o militares de alta jerarquía, altos ejecutivos de empresas estatales, funcionarios o miembros importantes de partidos políticos y organizaciones internacionales), así como a su cónyuge, concubina o concubinario, parientes por consanguinidad o afinidad hasta el segundo grado, y a los asociados o socios de personas morales con las que mantenga vínculos patrimoniales (art. 23 Quáter RCG). La calidad de PEP nacional se conserva durante el año siguiente a aquel en que la persona dejó el cargo. Ver Política de PEP's, Documento D8-PROF. Beneficiario Controlador (art. 18, fr. III, de la Ley): cuando el cliente sea persona moral, fideicomiso u otra figura jurídica, el profesional recaba los documentos que permitan identificar a su Beneficiario Controlador; cuando sea persona física, recaba la declaración acerca de si tiene o no conocimiento de la existencia de un Beneficiario Controlador y, en su caso, la documentación que permita identificarlo. Es particularmente relevante en los incisos d) y e) — ver Sección E del D7-PROF.</w:t>
      </w:r>
    </w:p>
    <w:p>
      <w:pPr>
        <w:spacing w:after="110"/>
      </w:pPr>
      <w:r>
        <w:rPr>
          <w:rFonts w:ascii="Calibri" w:cs="Calibri" w:eastAsia="Calibri" w:hAnsi="Calibri"/>
          <w:sz w:val="20"/>
          <w:szCs w:val="20"/>
        </w:rPr>
        <w:t xml:space="preserve">Orden de prelación para identificar al Beneficiario Controlador (art. 23 Quinquies RCG): (i) la persona o personas físicas que tengan el 25% o más del capital social; (ii) si no existe, quien controle a la persona moral por otros medios; (iii) en último término, el funcionario administrativo de mayor grado. En fideicomisos se aplica el art. 23 Quinquies 1. No se exige la identificación del Beneficiario Controlador en los supuestos de exención del art. 23 Quinquies 2 RCG. La evidencia del procedimiento se integra en la Sección E del D7-PROF.</w:t>
      </w:r>
    </w:p>
    <w:p>
      <w:pPr>
        <w:spacing w:after="110" w:before="220"/>
      </w:pPr>
      <w:r>
        <w:rPr>
          <w:rFonts w:ascii="Calibri" w:cs="Calibri" w:eastAsia="Calibri" w:hAnsi="Calibri"/>
          <w:b/>
          <w:bCs/>
          <w:color w:val="1F3864"/>
          <w:sz w:val="24"/>
          <w:szCs w:val="24"/>
        </w:rPr>
        <w:t xml:space="preserve">Capítulo 7: Operaciones Inusuales</w:t>
      </w:r>
    </w:p>
    <w:p>
      <w:pPr>
        <w:spacing w:after="110"/>
      </w:pPr>
      <w:r>
        <w:rPr>
          <w:rFonts w:ascii="Calibri" w:cs="Calibri" w:eastAsia="Calibri" w:hAnsi="Calibri"/>
          <w:sz w:val="21"/>
          <w:szCs w:val="21"/>
        </w:rPr>
        <w:t xml:space="preserve">El catálogo de señales de alerta por inciso, el procedimiento de reporte interno y la presentación del Aviso dentro de las 24 horas siguientes a la detección de la sospecha se encuentran en el Documento D9-PROF.</w:t>
      </w:r>
    </w:p>
    <w:p>
      <w:pPr>
        <w:spacing w:after="110"/>
      </w:pPr>
      <w:r>
        <w:rPr>
          <w:rFonts w:ascii="Calibri" w:cs="Calibri" w:eastAsia="Calibri" w:hAnsi="Calibri"/>
          <w:sz w:val="20"/>
          <w:szCs w:val="20"/>
        </w:rPr>
        <w:t xml:space="preserve">El Aviso por sospecha o por indicios es obligatorio dentro de las 24 horas siguientes a que se tuvo conocimiento o se generó la sospecha, incluso si el servicio no se celebró y aun en fase de preparación (art. 18, fr. VI, de la Ley; arts. 26 Bis y 26 Bis 1 RCG). Su contenido se limita a lo que exige el art. 24 de la Ley, con respeto al secreto profesional y garantía de defensa conforme al criterio del capítulo 20.</w:t>
      </w:r>
    </w:p>
    <w:p>
      <w:pPr>
        <w:spacing w:after="110" w:before="220"/>
      </w:pPr>
      <w:r>
        <w:rPr>
          <w:rFonts w:ascii="Calibri" w:cs="Calibri" w:eastAsia="Calibri" w:hAnsi="Calibri"/>
          <w:b/>
          <w:bCs/>
          <w:color w:val="1F3864"/>
          <w:sz w:val="24"/>
          <w:szCs w:val="24"/>
        </w:rPr>
        <w:t xml:space="preserve">Capítulo 8: Restricción de Pagos en Efectivo</w:t>
      </w:r>
    </w:p>
    <w:p>
      <w:pPr>
        <w:spacing w:after="110"/>
      </w:pPr>
      <w:r>
        <w:rPr>
          <w:rFonts w:ascii="Calibri" w:cs="Calibri" w:eastAsia="Calibri" w:hAnsi="Calibri"/>
          <w:sz w:val="21"/>
          <w:szCs w:val="21"/>
        </w:rPr>
        <w:t xml:space="preserve">El artículo 32 LFPIORPI aplica de forma transversal, no exclusiva de la Fracción XI, y resulta relevante principalmente en dos de los cinco incisos: inciso a) — constitución o transmisión de derechos reales sobre inmuebles, prohibido en efectivo desde 8,025 UMA (~$941,413 MXN); e inciso e) — transmisión de acciones o partes sociales, prohibido en efectivo desde 3,210 UMA (~$376,565 MXN). Para los incisos b), c) y d) el artículo 32 no establece una prohibición específica de pago en efectivo, sin perjuicio de que un pago en efectivo inusual sea, en sí mismo, una señal de alerta conforme al D9-PROF.</w:t>
      </w:r>
    </w:p>
    <w:p>
      <w:pPr>
        <w:spacing w:after="110"/>
      </w:pPr>
      <w:r>
        <w:rPr>
          <w:rFonts w:ascii="Calibri" w:cs="Calibri" w:eastAsia="Calibri" w:hAnsi="Calibri"/>
          <w:sz w:val="20"/>
          <w:szCs w:val="20"/>
        </w:rPr>
        <w:t xml:space="preserve">El profesional no puede aceptar ni realizar pagos en efectivo en los supuestos prohibidos por el art. 32; participar en ellos se sanciona conforme a los arts. 53, fr. VII, y 54, fr. III, de la Ley. Cuando el servicio implique pagos en esos supuestos, el expediente documenta la forma de pago y su soporte.</w:t>
      </w:r>
    </w:p>
    <w:p>
      <w:pPr>
        <w:spacing w:after="110" w:before="220"/>
      </w:pPr>
      <w:r>
        <w:rPr>
          <w:rFonts w:ascii="Calibri" w:cs="Calibri" w:eastAsia="Calibri" w:hAnsi="Calibri"/>
          <w:b/>
          <w:bCs/>
          <w:color w:val="1F3864"/>
          <w:sz w:val="24"/>
          <w:szCs w:val="24"/>
        </w:rPr>
        <w:t xml:space="preserve">Capítulo 9: Presentación de Avisos ante la Secretaría</w:t>
      </w:r>
    </w:p>
    <w:p>
      <w:pPr>
        <w:spacing w:after="110"/>
      </w:pPr>
      <w:r>
        <w:rPr>
          <w:rFonts w:ascii="Calibri" w:cs="Calibri" w:eastAsia="Calibri" w:hAnsi="Calibri"/>
          <w:sz w:val="21"/>
          <w:szCs w:val="21"/>
        </w:rPr>
        <w:t xml:space="preserve">Cuando el profesional lleve a cabo, en nombre y representación del cliente, una operación financiera relacionada con los incisos a) a e) (art. 17, fr. XI, último párrafo), presenta el Aviso ante la Secretaría, a través del Portal del SAT, a más tardar el día 17 del mes inmediato siguiente a aquel en que realizó la operación (art. 23 de la Ley; art. 24 Bis, fr. VII, RCG). Si en el mes no realizó operaciones objeto de Aviso, presenta el informe correspondiente (art. 25 RCG). Ante sospecha o indicios, el Aviso se presenta dentro de las 24 horas siguientes (capítulo 7). Los Avisos contienen los datos que exige el art. 24 de la Ley (datos del prestador, del cliente y, en su caso, del Beneficiario Controlador, y descripción general de la operación), con respeto al secreto profesional y garantía de defensa; su presentación no transgrede la confidencialidad ni el secreto profesional (art. 22). El control mensual, incluyendo la determinación de representación, se documenta en el D12-PROF. El registro inicial se documenta en el D3-PROF.</w:t>
      </w:r>
    </w:p>
    <w:p>
      <w:pPr>
        <w:spacing w:after="110" w:before="220"/>
      </w:pPr>
      <w:r>
        <w:rPr>
          <w:rFonts w:ascii="Calibri" w:cs="Calibri" w:eastAsia="Calibri" w:hAnsi="Calibri"/>
          <w:b/>
          <w:bCs/>
          <w:color w:val="1F3864"/>
          <w:sz w:val="24"/>
          <w:szCs w:val="24"/>
        </w:rPr>
        <w:t xml:space="preserve">Capítulo 10: Resguardo Documental</w:t>
      </w:r>
    </w:p>
    <w:p>
      <w:pPr>
        <w:spacing w:after="110"/>
      </w:pPr>
      <w:r>
        <w:rPr>
          <w:rFonts w:ascii="Calibri" w:cs="Calibri" w:eastAsia="Calibri" w:hAnsi="Calibri"/>
          <w:sz w:val="21"/>
          <w:szCs w:val="21"/>
        </w:rPr>
        <w:t xml:space="preserve">Aplica la Política de Resguardo Documental, Documento D10-PROF — plazo de conservación de 10 años conforme al artículo 18, fracción IV.</w:t>
      </w:r>
    </w:p>
    <w:p>
      <w:pPr>
        <w:spacing w:after="110" w:before="220"/>
      </w:pPr>
      <w:r>
        <w:rPr>
          <w:rFonts w:ascii="Calibri" w:cs="Calibri" w:eastAsia="Calibri" w:hAnsi="Calibri"/>
          <w:b/>
          <w:bCs/>
          <w:color w:val="1F3864"/>
          <w:sz w:val="24"/>
          <w:szCs w:val="24"/>
        </w:rPr>
        <w:t xml:space="preserve">Capítulo 11: Capacitación</w:t>
      </w:r>
    </w:p>
    <w:p>
      <w:pPr>
        <w:spacing w:after="110"/>
      </w:pPr>
      <w:r>
        <w:rPr>
          <w:rFonts w:ascii="Calibri" w:cs="Calibri" w:eastAsia="Calibri" w:hAnsi="Calibri"/>
          <w:sz w:val="21"/>
          <w:szCs w:val="21"/>
        </w:rPr>
        <w:t xml:space="preserve">Aplica el Programa Anual de Capacitación, Documento D11-PROF, con casos prácticos (D11B-PROF) y evaluación de comprensión (D11C-PROF) propios de la Fracción XI.</w:t>
      </w:r>
    </w:p>
    <w:p>
      <w:pPr>
        <w:spacing w:after="110"/>
      </w:pPr>
      <w:r>
        <w:rPr>
          <w:rFonts w:ascii="Calibri" w:cs="Calibri" w:eastAsia="Calibri" w:hAnsi="Calibri"/>
          <w:sz w:val="20"/>
          <w:szCs w:val="20"/>
        </w:rPr>
        <w:t xml:space="preserve">La capacitación se imparte al menos una vez al año a los integrantes del órgano de administración o administrador único, al Representante de Cumplimiento y a quienes tengan relación directa con los clientes, participen en la identificación, el envío de Avisos o la auditoría (art. 18, fr. IX, de la Ley; art. 39 Bis RCG); el primer periodo anual comprende del 1 de enero al 31 de diciembre de 2027. Se evalúan los conocimientos adquiridos y se conservan por diez años las constancias y evidencias (art. 39 Bis 1).</w:t>
      </w:r>
    </w:p>
    <w:p>
      <w:pPr>
        <w:spacing w:after="110" w:before="220"/>
      </w:pPr>
      <w:r>
        <w:rPr>
          <w:rFonts w:ascii="Calibri" w:cs="Calibri" w:eastAsia="Calibri" w:hAnsi="Calibri"/>
          <w:b/>
          <w:bCs/>
          <w:color w:val="1F3864"/>
          <w:sz w:val="24"/>
          <w:szCs w:val="24"/>
        </w:rPr>
        <w:t xml:space="preserve">Capítulo 12: Auditoría Interna</w:t>
      </w:r>
    </w:p>
    <w:p>
      <w:pPr>
        <w:spacing w:after="110"/>
      </w:pPr>
      <w:r>
        <w:rPr>
          <w:rFonts w:ascii="Calibri" w:cs="Calibri" w:eastAsia="Calibri" w:hAnsi="Calibri"/>
          <w:sz w:val="21"/>
          <w:szCs w:val="21"/>
        </w:rPr>
        <w:t xml:space="preserve">Aplica el esquema de Auditoría Interna, Documento D13-PROF, conforme al artículo 18, fracción XI.</w:t>
      </w:r>
    </w:p>
    <w:p>
      <w:pPr>
        <w:spacing w:after="110"/>
      </w:pPr>
      <w:r>
        <w:rPr>
          <w:rFonts w:ascii="Calibri" w:cs="Calibri" w:eastAsia="Calibri" w:hAnsi="Calibri"/>
          <w:sz w:val="20"/>
          <w:szCs w:val="20"/>
        </w:rPr>
        <w:t xml:space="preserve">La auditoría es anual, por año calendario (art. 18, fr. XI, de la Ley; arts. 42 a 51 RCG) y evalúa y dictamina la efectividad del cumplimiento de la Ley, su Reglamento y las Reglas; el primer periodo de revisión es el comprendido del 1 de enero al 31 de diciembre de 2028. Cuando el Riesgo del sujeto obligado sea bajo o medio puede realizarla un área de auditoría interna independiente del Representante de Cumplimiento o una persona auditora externa independiente; cuando sea alto, o cuando así lo elija, una persona auditora externa independiente que cumpla los requisitos del art. 45 RCG. El profesional persona física, o el despacho que no cuente con un área independiente, encomienda la revisión a persona auditora externa. Los resultados se presentan al órgano de administración o administrador único o, en su caso, directamente a la persona física sujeta (art. 42).</w:t>
      </w:r>
    </w:p>
    <w:p>
      <w:pPr>
        <w:shd w:fill="1F3864" w:val="clear"/>
        <w:spacing w:after="100" w:before="220"/>
      </w:pPr>
      <w:r>
        <w:rPr>
          <w:rFonts w:ascii="Calibri" w:cs="Calibri" w:eastAsia="Calibri" w:hAnsi="Calibri"/>
          <w:b/>
          <w:bCs/>
          <w:color w:val="FFFFFF"/>
          <w:sz w:val="22"/>
          <w:szCs w:val="22"/>
        </w:rPr>
        <w:t xml:space="preserve">Capítulo 13: Perfil Transaccional y Sistema de Alertas</w:t>
      </w:r>
    </w:p>
    <w:p>
      <w:pPr>
        <w:spacing w:after="110"/>
      </w:pPr>
      <w:r>
        <w:rPr>
          <w:rFonts w:ascii="Calibri" w:cs="Calibri" w:eastAsia="Calibri" w:hAnsi="Calibri"/>
          <w:sz w:val="20"/>
          <w:szCs w:val="20"/>
        </w:rPr>
        <w:t xml:space="preserve">El profesional determina el Perfil Transaccional inicial de cada cliente con base en la información que éste proporcione sobre los servicios que estima requerir, su frecuencia y su monto (art. 23 Ter 1 RCG), y lo incorpora a un sistema de alertas que permite detectar comportamientos que se aparten de lo esperado y que pudieran vincularse con los delitos de los arts. 139 Quáter o 400 Bis del Código Penal Federal (art. 23 Ter 2). El Perfil se reevalúa al menos cada seis meses y, ante cambios significativos, se actualiza el expediente (art. 23 Ter, fr. IV). Toda alerta se documenta en el D9-PROF.</w:t>
      </w:r>
    </w:p>
    <w:p>
      <w:pPr>
        <w:shd w:fill="1F3864" w:val="clear"/>
        <w:spacing w:after="100" w:before="220"/>
      </w:pPr>
      <w:r>
        <w:rPr>
          <w:rFonts w:ascii="Calibri" w:cs="Calibri" w:eastAsia="Calibri" w:hAnsi="Calibri"/>
          <w:b/>
          <w:bCs/>
          <w:color w:val="FFFFFF"/>
          <w:sz w:val="22"/>
          <w:szCs w:val="22"/>
        </w:rPr>
        <w:t xml:space="preserve">Capítulo 14: Seguimiento, Actualización y Reevaluación</w:t>
      </w:r>
    </w:p>
    <w:p>
      <w:pPr>
        <w:spacing w:after="110"/>
      </w:pPr>
      <w:r>
        <w:rPr>
          <w:rFonts w:ascii="Calibri" w:cs="Calibri" w:eastAsia="Calibri" w:hAnsi="Calibri"/>
          <w:sz w:val="20"/>
          <w:szCs w:val="20"/>
        </w:rPr>
        <w:t xml:space="preserve">Conforme al art. 19 RCG, el seguimiento y acumulación de montos por periodos de hasta seis meses no incluye la Fracción XI, por lo que el aviso no depende de montos acumulados. No obstante, el profesional da seguimiento a la actividad de cada cliente para (i) mantener actualizado su Perfil Transaccional, (ii) reevaluar su Grado de Riesgo al menos cada seis meses (art. 23 Bis 1) y (iii) verificar al menos una vez al año que su expediente esté completo y actualizado (art. 21).</w:t>
      </w:r>
    </w:p>
    <w:p>
      <w:pPr>
        <w:shd w:fill="1F3864" w:val="clear"/>
        <w:spacing w:after="100" w:before="220"/>
      </w:pPr>
      <w:r>
        <w:rPr>
          <w:rFonts w:ascii="Calibri" w:cs="Calibri" w:eastAsia="Calibri" w:hAnsi="Calibri"/>
          <w:b/>
          <w:bCs/>
          <w:color w:val="FFFFFF"/>
          <w:sz w:val="22"/>
          <w:szCs w:val="22"/>
        </w:rPr>
        <w:t xml:space="preserve">Capítulo 15: Identificación de Personas en Listas de Autoridades</w:t>
      </w:r>
    </w:p>
    <w:p>
      <w:pPr>
        <w:spacing w:after="110"/>
      </w:pPr>
      <w:r>
        <w:rPr>
          <w:rFonts w:ascii="Calibri" w:cs="Calibri" w:eastAsia="Calibri" w:hAnsi="Calibri"/>
          <w:sz w:val="20"/>
          <w:szCs w:val="20"/>
        </w:rPr>
        <w:t xml:space="preserve">El profesional incorpora procedimientos para identificar a las personas incluidas en las listas que emitan autoridades nacionales u organismos internacionales y que dé a conocer la UIF (art. 38 RCG), a fin de evitar el uso de recursos para el financiamiento de organizaciones delictivas u otras actividades ilícitas. Si la persona con quien se preste o se intente prestar el servicio está en esas listas, se presenta Aviso dentro de las 24 horas (art. 27 RCG, en relación con los arts. 26 Bis y 26 Bis 1). La consulta se documenta en el expediente KYC.</w:t>
      </w:r>
    </w:p>
    <w:p>
      <w:pPr>
        <w:shd w:fill="1F3864" w:val="clear"/>
        <w:spacing w:after="100" w:before="220"/>
      </w:pPr>
      <w:r>
        <w:rPr>
          <w:rFonts w:ascii="Calibri" w:cs="Calibri" w:eastAsia="Calibri" w:hAnsi="Calibri"/>
          <w:b/>
          <w:bCs/>
          <w:color w:val="FFFFFF"/>
          <w:sz w:val="22"/>
          <w:szCs w:val="22"/>
        </w:rPr>
        <w:t xml:space="preserve">Capítulo 16: Confidencialidad</w:t>
      </w:r>
    </w:p>
    <w:p>
      <w:pPr>
        <w:spacing w:after="110"/>
      </w:pPr>
      <w:r>
        <w:rPr>
          <w:rFonts w:ascii="Calibri" w:cs="Calibri" w:eastAsia="Calibri" w:hAnsi="Calibri"/>
          <w:sz w:val="20"/>
          <w:szCs w:val="20"/>
        </w:rPr>
        <w:t xml:space="preserve">El profesional, el Representante de Cumplimiento, los socios, apoderados y el personal mantienen absoluta confidencialidad sobre la información, documentación y operaciones relacionadas con el cumplimiento de la Ley, incluida la relativa al Beneficiario Controlador y a los Avisos presentados, salvo requerimiento de la UIF, el SAT u otras autoridades facultadas (arts. 38 de la Ley y 31 RCG). Queda prohibido alertar al cliente o a terceros sobre cualquier referencia en un Aviso, sobre requerimientos recibidos o sobre órdenes de aseguramiento; revelar sin autorización la vinculación de una persona con un Aviso o requerimiento constituye el delito del art. 63, fr. II, de la Ley (ver también art. 50). La presentación de Avisos no vulnera el secreto profesional ni la confidencialidad (art. 22).</w:t>
      </w:r>
    </w:p>
    <w:p>
      <w:pPr>
        <w:shd w:fill="1F3864" w:val="clear"/>
        <w:spacing w:after="100" w:before="220"/>
      </w:pPr>
      <w:r>
        <w:rPr>
          <w:rFonts w:ascii="Calibri" w:cs="Calibri" w:eastAsia="Calibri" w:hAnsi="Calibri"/>
          <w:b/>
          <w:bCs/>
          <w:color w:val="FFFFFF"/>
          <w:sz w:val="22"/>
          <w:szCs w:val="22"/>
        </w:rPr>
        <w:t xml:space="preserve">Capítulo 17: Criterios para Aceptar, Limitar o Terminar la Relación</w:t>
      </w:r>
    </w:p>
    <w:p>
      <w:pPr>
        <w:spacing w:after="110"/>
      </w:pPr>
      <w:r>
        <w:rPr>
          <w:rFonts w:ascii="Calibri" w:cs="Calibri" w:eastAsia="Calibri" w:hAnsi="Calibri"/>
          <w:sz w:val="20"/>
          <w:szCs w:val="20"/>
        </w:rPr>
        <w:t xml:space="preserve">En congruencia con la Metodología EBR (art. 37, tercer párrafo, RCG), el profesional se abstiene de prestar el servicio o de continuarlo cuando: (i) el cliente se niegue a proporcionar la información o documentación necesaria para su identificación (art. 21 de la Ley, sin responsabilidad alguna); (ii) el Grado de Riesgo resultante sea inaceptable conforme al D6-PROF; o (iii) existan señales de alerta que el cliente no pueda aclarar razonablemente. Toda abstención, limitación o terminación se documenta y conserva en el expediente. Se atenderá la suspensión temporal de actos con determinados clientes que, en su caso, determine la Secretaría (art. 54 Bis de la Ley).</w:t>
      </w:r>
    </w:p>
    <w:p>
      <w:pPr>
        <w:shd w:fill="1F3864" w:val="clear"/>
        <w:spacing w:after="100" w:before="220"/>
      </w:pPr>
      <w:r>
        <w:rPr>
          <w:rFonts w:ascii="Calibri" w:cs="Calibri" w:eastAsia="Calibri" w:hAnsi="Calibri"/>
          <w:b/>
          <w:bCs/>
          <w:color w:val="FFFFFF"/>
          <w:sz w:val="22"/>
          <w:szCs w:val="22"/>
        </w:rPr>
        <w:t xml:space="preserve">Capítulo 18: Mecanismos Automatizados</w:t>
      </w:r>
    </w:p>
    <w:p>
      <w:pPr>
        <w:spacing w:after="110"/>
      </w:pPr>
      <w:r>
        <w:rPr>
          <w:rFonts w:ascii="Calibri" w:cs="Calibri" w:eastAsia="Calibri" w:hAnsi="Calibri"/>
          <w:sz w:val="20"/>
          <w:szCs w:val="20"/>
        </w:rPr>
        <w:t xml:space="preserve">Conforme al art. 41 RCG, el profesional cuenta con mecanismos automatizados —razonablemente adecuados a su volumen, naturaleza y Riesgo— que permiten: conservar, actualizar y consultar los expedientes de identificación; agrupar los servicios y operaciones de cada cliente para monitorear los que se aparten de su Perfil Transaccional; proveer la información de la Metodología EBR; ejecutar el modelo de Grado de Riesgo conservando su historial por diez años; operar el sistema de alertas para clientes de riesgo alto, PEP y personas en listas; y monitorear el uso de efectivo del art. 32. Pueden ser hojas de cálculo o bases de datos, siempre que cumplan esas funciones y sean verificables. Deben estar operando a más tardar el 1 de junio de 2027, con información de los servicios realizados a partir de esa fecha (Noveno transitorio del Acuerdo 115/2026).</w:t>
      </w:r>
    </w:p>
    <w:p>
      <w:pPr>
        <w:shd w:fill="1F3864" w:val="clear"/>
        <w:spacing w:after="100" w:before="220"/>
      </w:pPr>
      <w:r>
        <w:rPr>
          <w:rFonts w:ascii="Calibri" w:cs="Calibri" w:eastAsia="Calibri" w:hAnsi="Calibri"/>
          <w:b/>
          <w:bCs/>
          <w:color w:val="FFFFFF"/>
          <w:sz w:val="22"/>
          <w:szCs w:val="22"/>
        </w:rPr>
        <w:t xml:space="preserve">Capítulo 19: Selección y Capacitación del Personal</w:t>
      </w:r>
    </w:p>
    <w:p>
      <w:pPr>
        <w:spacing w:after="110"/>
      </w:pPr>
      <w:r>
        <w:rPr>
          <w:rFonts w:ascii="Calibri" w:cs="Calibri" w:eastAsia="Calibri" w:hAnsi="Calibri"/>
          <w:sz w:val="20"/>
          <w:szCs w:val="20"/>
        </w:rPr>
        <w:t xml:space="preserve">El profesional aplica procedimientos de selección que garanticen que su personal cuente con calidad técnica, experiencia y honorabilidad, y obtiene de cada funcionario o empleado una declaración firmada que incluya, en su caso, los sectores sujetos a la Ley en que haya laborado y que no ha sido sentenciado por delitos patrimoniales ni inhabilitado para ejercer el comercio o para desempeñar un empleo, cargo o comisión en el servicio público o en el sistema financiero (art. 39 Bis 2 RCG; aplica a contrataciones a partir del 1 de marzo de 2027). Las medidas ante la pérdida de calidad técnica u honorabilidad se documentan en el expediente del empleado. Se capacita conforme al Programa del D11-PROF.</w:t>
      </w:r>
    </w:p>
    <w:p>
      <w:pPr>
        <w:shd w:fill="1F3864" w:val="clear"/>
        <w:spacing w:after="100" w:before="220"/>
      </w:pPr>
      <w:r>
        <w:rPr>
          <w:rFonts w:ascii="Calibri" w:cs="Calibri" w:eastAsia="Calibri" w:hAnsi="Calibri"/>
          <w:b/>
          <w:bCs/>
          <w:color w:val="FFFFFF"/>
          <w:sz w:val="22"/>
          <w:szCs w:val="22"/>
        </w:rPr>
        <w:t xml:space="preserve">Capítulo 20: Alcance de la Sujeción y Secreto Profesional</w:t>
      </w:r>
    </w:p>
    <w:p>
      <w:pPr>
        <w:spacing w:after="110"/>
      </w:pPr>
      <w:r>
        <w:rPr>
          <w:rFonts w:ascii="Calibri" w:cs="Calibri" w:eastAsia="Calibri" w:hAnsi="Calibri"/>
          <w:sz w:val="20"/>
          <w:szCs w:val="20"/>
        </w:rPr>
        <w:t xml:space="preserve">El alcance de la sujeción se determina por línea de servicio y por asunto. Lista de líneas de servicio incluidas (incisos a) a e)): [LISTA]. Lista de líneas de servicio excluidas: [LISTA]. Secreto profesional y garantía de defensa: el Aviso se cumple con respeto a ambos (art. 17, fr. XI). Criterio del Programa: (i) no se avisa información obtenida en el ejercicio de la defensa de un cliente en un procedimiento; (ii) sí se avisa cuando se llevan a cabo operaciones financieras en representación del cliente, limitando el contenido del Aviso a lo exigido por el art. 24 de la Ley; y (iii) ante la duda, se documenta el análisis y se consulta al asesor legal antes de decidir no avisar (D1-PROF, sección IV).</w:t>
      </w:r>
    </w:p>
    <w:p>
      <w:pPr>
        <w:shd w:fill="1F3864" w:val="clear"/>
        <w:spacing w:after="100" w:before="220"/>
      </w:pPr>
      <w:r>
        <w:rPr>
          <w:rFonts w:ascii="Calibri" w:cs="Calibri" w:eastAsia="Calibri" w:hAnsi="Calibri"/>
          <w:b/>
          <w:bCs/>
          <w:color w:val="FFFFFF"/>
          <w:sz w:val="22"/>
          <w:szCs w:val="22"/>
        </w:rPr>
        <w:t xml:space="preserve">Capítulo 21: Calendario de Entrada en Vigor (Acuerdo 115/2026)</w:t>
      </w:r>
    </w:p>
    <w:p>
      <w:pPr>
        <w:spacing w:after="110"/>
      </w:pPr>
      <w:r>
        <w:rPr>
          <w:rFonts w:ascii="Calibri" w:cs="Calibri" w:eastAsia="Calibri" w:hAnsi="Calibri"/>
          <w:sz w:val="20"/>
          <w:szCs w:val="20"/>
        </w:rPr>
        <w:t xml:space="preserve">El Acuerdo 115/2026 entra en vigor el 30 de noviembre de 2026, con estas excepciones: (i) la evaluación de riesgos y el Manual con su metodología deben estar disponibles ante requerimiento a partir del 1 de marzo de 2027, con información del año inmediato anterior (transitorios Segundo y Tercero); (ii) los capítulos de Grado de Riesgo, conocimiento del cliente y Beneficiario Controlador aplican a los servicios realizados desde el 1 de marzo de 2027 (Cuarto); (iii) el envío de los Avisos por sospecha o indicios podrá realizarse seis meses después de la entrada en vigor de los nuevos formatos oficiales (Quinto); (iv) la selección de personal aplica a nuevas contrataciones desde el 1 de marzo de 2027 (Sexto); (v) el primer periodo de capacitación es el año 2027 (Séptimo); (vi) el primer periodo de auditoría es el año 2028 (Octavo); (vii) los mecanismos automatizados deben operar a más tardar el 1 de junio de 2027 (Noveno); y (viii) la consulta de PEP nacionales a la UIF podrá realizarse nueve meses después de la entrada en vigor (Décimo).</w:t>
      </w:r>
    </w:p>
    <w:p>
      <w:pPr>
        <w:spacing w:after="110" w:before="220"/>
      </w:pPr>
      <w:r>
        <w:rPr>
          <w:rFonts w:ascii="Calibri" w:cs="Calibri" w:eastAsia="Calibri" w:hAnsi="Calibri"/>
          <w:b/>
          <w:bCs/>
          <w:color w:val="1F3864"/>
          <w:sz w:val="24"/>
          <w:szCs w:val="24"/>
        </w:rPr>
        <w:t xml:space="preserve">Capítulo 22: Sanciones Aplicables</w:t>
      </w:r>
    </w:p>
    <w:p>
      <w:pPr>
        <w:spacing w:after="110"/>
      </w:pPr>
      <w:r>
        <w:rPr>
          <w:rFonts w:ascii="Calibri" w:cs="Calibri" w:eastAsia="Calibri" w:hAnsi="Calibri"/>
          <w:sz w:val="21"/>
          <w:szCs w:val="21"/>
        </w:rPr>
        <w:t xml:space="preserve">Incumplir las obligaciones del artículo 18 (por ejemplo, identificación, Manual, registro) o presentar un Aviso extemporáneamente dentro de los 30 días siguientes al plazo (art. 53, fr. II y III) se sanciona con 200 a 2,000 UMA —de $23,462 a $234,620 con la UMA 2026— (art. 54, fr. I). La omisión de Avisos o la participación en actos prohibidos por el art. 32 (art. 53, fr. VI y VII) se sanciona con 10,000 a 65,000 UMA —de $1,173,100 a $7,625,150— o con el 10% al 100% del valor del acto u operación, la que resulte mayor (art. 54, fr. III). Una extemporaneidad mayor a 30 días se trata como omisión. Actuación espontánea (art. 55): la Secretaría se abstiene de sancionar, por única ocasión, el total de las infracciones si el sujeto cumple de manera espontánea y previa al inicio de las facultades de verificación y reconoce expresamente la falta; después de ejercido ese beneficio, reduce hasta en un 50% las multas de las infracciones que se regularicen en las mismas condiciones.</w:t>
      </w:r>
    </w:p>
    <w:p>
      <w:pPr>
        <w:spacing w:after="110" w:before="220"/>
      </w:pPr>
      <w:r>
        <w:rPr>
          <w:rFonts w:ascii="Calibri" w:cs="Calibri" w:eastAsia="Calibri" w:hAnsi="Calibri"/>
          <w:b/>
          <w:bCs/>
          <w:color w:val="1F3864"/>
          <w:sz w:val="24"/>
          <w:szCs w:val="24"/>
        </w:rPr>
        <w:t xml:space="preserve">Capítulo 23: Actualización del Manual</w:t>
      </w:r>
    </w:p>
    <w:p>
      <w:pPr>
        <w:spacing w:after="110"/>
      </w:pPr>
      <w:r>
        <w:rPr>
          <w:rFonts w:ascii="Calibri" w:cs="Calibri" w:eastAsia="Calibri" w:hAnsi="Calibri"/>
          <w:sz w:val="21"/>
          <w:szCs w:val="21"/>
        </w:rPr>
        <w:t xml:space="preserve">Este Manual se revisa con periodicidad anual y cada vez que se publique una reforma a la LFPIORPI, su Reglamento o las Reglas de Carácter General aplicables.</w:t>
      </w:r>
    </w:p>
    <w:p>
      <w:pPr>
        <w:spacing w:after="110" w:before="220"/>
      </w:pPr>
      <w:r>
        <w:rPr>
          <w:rFonts w:ascii="Calibri" w:cs="Calibri" w:eastAsia="Calibri" w:hAnsi="Calibri"/>
          <w:b/>
          <w:bCs/>
          <w:color w:val="1F3864"/>
          <w:sz w:val="24"/>
          <w:szCs w:val="24"/>
        </w:rPr>
        <w:t xml:space="preserve">Capítulo 24: Glosario</w:t>
      </w:r>
    </w:p>
    <w:p>
      <w:pPr>
        <w:spacing w:after="70"/>
      </w:pPr>
      <w:r>
        <w:rPr>
          <w:rFonts w:ascii="Calibri" w:cs="Calibri" w:eastAsia="Calibri" w:hAnsi="Calibri"/>
          <w:sz w:val="21"/>
          <w:szCs w:val="21"/>
        </w:rPr>
        <w:t xml:space="preserve">• LFPIORPI: Ley Federal para la Prevención e Identificación de Operaciones con Recursos de Procedencia Ilícita.</w:t>
      </w:r>
    </w:p>
    <w:p>
      <w:pPr>
        <w:spacing w:after="70"/>
      </w:pPr>
      <w:r>
        <w:rPr>
          <w:rFonts w:ascii="Calibri" w:cs="Calibri" w:eastAsia="Calibri" w:hAnsi="Calibri"/>
          <w:sz w:val="21"/>
          <w:szCs w:val="21"/>
        </w:rPr>
        <w:t xml:space="preserve">• UMA: Unidad de Medida y Actualización — $117.31 MXN diarios en 2026.</w:t>
      </w:r>
    </w:p>
    <w:p>
      <w:pPr>
        <w:spacing w:after="70"/>
      </w:pPr>
      <w:r>
        <w:rPr>
          <w:rFonts w:ascii="Calibri" w:cs="Calibri" w:eastAsia="Calibri" w:hAnsi="Calibri"/>
          <w:sz w:val="21"/>
          <w:szCs w:val="21"/>
        </w:rPr>
        <w:t xml:space="preserve">• PLD/FT: Prevención de Lavado de Dinero y Financiamiento al Terrorismo.</w:t>
      </w:r>
    </w:p>
    <w:p>
      <w:pPr>
        <w:spacing w:after="70"/>
      </w:pPr>
      <w:r>
        <w:rPr>
          <w:rFonts w:ascii="Calibri" w:cs="Calibri" w:eastAsia="Calibri" w:hAnsi="Calibri"/>
          <w:sz w:val="21"/>
          <w:szCs w:val="21"/>
        </w:rPr>
        <w:t xml:space="preserve">• Beneficiario Controlador: persona física que en última instancia obtiene el beneficio o ejerce el control efectivo.</w:t>
      </w:r>
    </w:p>
    <w:p>
      <w:pPr>
        <w:spacing w:after="70"/>
      </w:pPr>
      <w:r>
        <w:rPr>
          <w:rFonts w:ascii="Calibri" w:cs="Calibri" w:eastAsia="Calibri" w:hAnsi="Calibri"/>
          <w:sz w:val="21"/>
          <w:szCs w:val="21"/>
        </w:rPr>
        <w:t xml:space="preserve">• SPPLD: Sistema/Portal de Prevención de Lavado de Dinero del SAT.</w:t>
      </w:r>
    </w:p>
    <w:p>
      <w:pPr>
        <w:spacing w:after="70"/>
      </w:pPr>
      <w:r>
        <w:rPr>
          <w:rFonts w:ascii="Calibri" w:cs="Calibri" w:eastAsia="Calibri" w:hAnsi="Calibri"/>
          <w:sz w:val="21"/>
          <w:szCs w:val="21"/>
        </w:rPr>
        <w:t xml:space="preserve">• Momento de sujeción: distinción propia de la Fracción XI entre preparación (identificación) y representación (aviso).</w:t>
      </w:r>
    </w:p>
    <w:p>
      <w:pPr>
        <w:spacing w:after="60"/>
      </w:pPr>
      <w:r>
        <w:rPr>
          <w:rFonts w:ascii="Calibri" w:cs="Calibri" w:eastAsia="Calibri" w:hAnsi="Calibri"/>
          <w:sz w:val="21"/>
          <w:szCs w:val="21"/>
        </w:rPr>
        <w:t xml:space="preserve"/>
      </w:r>
    </w:p>
    <w:p>
      <w:pPr>
        <w:spacing w:after="110"/>
      </w:pPr>
      <w:r>
        <w:rPr>
          <w:rFonts w:ascii="Calibri" w:cs="Calibri" w:eastAsia="Calibri" w:hAnsi="Calibri"/>
          <w:sz w:val="16"/>
          <w:szCs w:val="16"/>
        </w:rPr>
        <w:t xml:space="preserve">CERTUS CONSULTORES  |  Certus PLD  |  Mérida, Yucatán  |  999 163 1363</w:t>
      </w:r>
    </w:p>
    <w:sectPr>
      <w:pgSz w:w="12240" w:h="15840"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2026-09-10T21:04:32.028Z</dcterms:created>
  <dcterms:modified xsi:type="dcterms:W3CDTF">2026-09-10T21:04:32.028Z</dcterms:modified>
</cp:coreProperties>
</file>

<file path=docProps/custom.xml><?xml version="1.0" encoding="utf-8"?>
<Properties xmlns="http://schemas.openxmlformats.org/officeDocument/2006/custom-properties" xmlns:vt="http://schemas.openxmlformats.org/officeDocument/2006/docPropsVTypes"/>
</file>