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2"/>
                <w:szCs w:val="22"/>
              </w:rPr>
              <w:t xml:space="preserve">D6-PROF Metodología de Enfoque Basado en Riesgo (EBR) — Servicios Profesionales</w:t>
            </w:r>
          </w:p>
          <w:p>
            <w:pPr>
              <w:spacing w:before="60"/>
            </w:pPr>
            <w:r>
              <w:rPr>
                <w:rFonts w:ascii="Calibri" w:cs="Calibri" w:eastAsia="Calibri" w:hAnsi="Calibri"/>
                <w:sz w:val="20"/>
                <w:szCs w:val="20"/>
              </w:rPr>
              <w:t xml:space="preserve">Profesional / Despacho: [Nombre]   │   Variante: Servicios Profesionales — Fracción XI LFPIORPI</w:t>
            </w:r>
          </w:p>
        </w:tc>
      </w:tr>
    </w:tbl>
    <w:p>
      <w:pPr>
        <w:spacing w:after="120"/>
      </w:pPr>
      <w:r>
        <w:rPr>
          <w:rFonts w:ascii="Calibri" w:cs="Calibri" w:eastAsia="Calibri" w:hAnsi="Calibri"/>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Profesional / Despacho: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 completo del profesional o denominación del despacho]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Tipo de sujeto obligado: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[Persona física — profesional independiente  /  Persona moral — despacho]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Versión:</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1.0</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Fecha de adopción:</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[Fecha]</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Elaboró:</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CERTUS CONSULTORES │ Certus PLD</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Vigencia: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Anual — revisión obligatoria</w:t>
            </w:r>
          </w:p>
        </w:tc>
      </w:tr>
    </w:tbl>
    <w:p>
      <w:pPr>
        <w:spacing w:after="120" w:before="240"/>
      </w:pPr>
      <w:r>
        <w:rPr>
          <w:rFonts w:ascii="Calibri" w:cs="Calibri" w:eastAsia="Calibri" w:hAnsi="Calibri"/>
          <w:b/>
          <w:bCs/>
          <w:color w:val="1F3864"/>
          <w:sz w:val="24"/>
          <w:szCs w:val="24"/>
        </w:rPr>
        <w:t xml:space="preserve">I. Objetivo</w:t>
      </w:r>
    </w:p>
    <w:p>
      <w:pPr>
        <w:spacing w:after="120"/>
      </w:pPr>
      <w:r>
        <w:rPr>
          <w:rFonts w:ascii="Calibri" w:cs="Calibri" w:eastAsia="Calibri" w:hAnsi="Calibri"/>
          <w:sz w:val="22"/>
          <w:szCs w:val="22"/>
        </w:rPr>
        <w:t xml:space="preserve">La Metodología EBR establece el procedimiento para la evaluación, clasificación y gestión del riesgo PLD/FT de los clientes o asuntos del profesional o despacho, en cumplimiento del artículo 18, fracción VII de la LFPIORPI. Cada cliente o asunto se evalúa en 6 factores con escala de 1 a 3 puntos, produciendo una puntuación total sobre 18 que determina su nivel de riesgo — misma escala utilizada en el Expediente KYC (D7-PROF).</w:t>
      </w:r>
    </w:p>
    <w:p>
      <w:pPr>
        <w:spacing w:after="120"/>
      </w:pPr>
      <w:r>
        <w:rPr>
          <w:rFonts w:ascii="Calibri" w:cs="Calibri" w:eastAsia="Calibri" w:hAnsi="Calibri"/>
          <w:i/>
          <w:iCs/>
          <w:sz w:val="22"/>
          <w:szCs w:val="22"/>
        </w:rPr>
        <w:t xml:space="preserve">A diferencia de las variantes con umbral monetario, en la Fracción XI la clasificación EBR NO determina si se activa la obligación de aviso — ésta depende exclusivamente de si el profesional prepara para el cliente o lleva a cabo en su nombre y representación alguna de las operaciones de los incisos a) a e) del artículo 17, Fracción XI. La EBR determina únicamente la intensidad de la debida diligencia aplicada a cada cliente o asunto.</w:t>
      </w:r>
    </w:p>
    <w:p>
      <w:pPr>
        <w:spacing w:after="120" w:before="240"/>
      </w:pPr>
      <w:r>
        <w:rPr>
          <w:rFonts w:ascii="Calibri" w:cs="Calibri" w:eastAsia="Calibri" w:hAnsi="Calibri"/>
          <w:b/>
          <w:bCs/>
          <w:color w:val="1F3864"/>
          <w:sz w:val="24"/>
          <w:szCs w:val="24"/>
        </w:rPr>
        <w:t xml:space="preserve">II. Matriz de 6 Factores de Riesgo — Adaptada a Servicios Profesionales (Fracción XI)</w:t>
      </w:r>
    </w:p>
    <w:p>
      <w:pPr>
        <w:spacing w:after="100" w:before="160"/>
      </w:pPr>
      <w:r>
        <w:rPr>
          <w:rFonts w:ascii="Calibri" w:cs="Calibri" w:eastAsia="Calibri" w:hAnsi="Calibri"/>
          <w:b/>
          <w:bCs/>
          <w:sz w:val="22"/>
          <w:szCs w:val="22"/>
        </w:rPr>
        <w:t xml:space="preserve">Factor 1 — Perfil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Tipo de persona y residencia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PF residente en México con identificación verificada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PF con fondos de fuente no habitual o PM de reciente constitución</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PM con estructura compleja, beneficiario controlador difícil de identificar, o no residente</w:t>
            </w:r>
          </w:p>
        </w:tc>
      </w:tr>
    </w:tbl>
    <w:p>
      <w:pPr>
        <w:spacing w:after="100" w:before="160"/>
      </w:pPr>
      <w:r>
        <w:rPr>
          <w:rFonts w:ascii="Calibri" w:cs="Calibri" w:eastAsia="Calibri" w:hAnsi="Calibri"/>
          <w:b/>
          <w:bCs/>
          <w:sz w:val="22"/>
          <w:szCs w:val="22"/>
        </w:rPr>
        <w:t xml:space="preserve">Factor 2 — Origen de los recursos o activos involucrados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Cómo se financian los recursos, cuentas o activos que administra o gestiona el profesional</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Recursos propios comprobables (nómina, actividad empresarial documentada)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Fondos mixtos, préstamo familiar, o activos con antigüedad acreditable</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Fondos en efectivo, criptomonedas, o procedencia no acreditada</w:t>
            </w:r>
          </w:p>
        </w:tc>
      </w:tr>
    </w:tbl>
    <w:p>
      <w:pPr>
        <w:spacing w:after="100" w:before="160"/>
      </w:pPr>
      <w:r>
        <w:rPr>
          <w:rFonts w:ascii="Calibri" w:cs="Calibri" w:eastAsia="Calibri" w:hAnsi="Calibri"/>
          <w:b/>
          <w:bCs/>
          <w:sz w:val="22"/>
          <w:szCs w:val="22"/>
        </w:rPr>
        <w:t xml:space="preserve">Factor 3 — Tipo de servicio prestado (incisos a-e, Fracción XI)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Naturaleza de la operación preparada o representada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a) Compraventa de inmueble residencial para uso propio del cliente identificado; c) manejo de cuenta bancaria ordinaria y trazable</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b) Administración de activos de valor moderado; d) organización de aportaciones de capital con socios identificables y giro lícito habitual</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b) Administración o manejo de recursos de terceros sin trazabilidad clara; e) constitución o compraventa de personas morales o vehículos corporativos con estructura opaca o multijurisdiccional</w:t>
            </w:r>
          </w:p>
        </w:tc>
      </w:tr>
    </w:tbl>
    <w:p>
      <w:pPr>
        <w:spacing w:after="100" w:before="160"/>
      </w:pPr>
      <w:r>
        <w:rPr>
          <w:rFonts w:ascii="Calibri" w:cs="Calibri" w:eastAsia="Calibri" w:hAnsi="Calibri"/>
          <w:b/>
          <w:bCs/>
          <w:sz w:val="22"/>
          <w:szCs w:val="22"/>
        </w:rPr>
        <w:t xml:space="preserve">Factor 4 — Monto o cuantía involucrada (indicador de riesgo, no umbral legal)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Valor económico de la operación, activo o recurso administrado — NO existe umbral legal en esta fracción; el monto se usa solo como indicador de riesgo</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Cuantía baja o no significativa respecto del perfil habitual del cliente</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Cuantía moderada, superior al perfil habitual pero justificada</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Cuantía elevada o desproporcionada respecto del perfil económico conocido del cliente</w:t>
            </w:r>
          </w:p>
        </w:tc>
      </w:tr>
    </w:tbl>
    <w:p>
      <w:pPr>
        <w:spacing w:after="100" w:before="160"/>
      </w:pPr>
      <w:r>
        <w:rPr>
          <w:rFonts w:ascii="Calibri" w:cs="Calibri" w:eastAsia="Calibri" w:hAnsi="Calibri"/>
          <w:b/>
          <w:bCs/>
          <w:sz w:val="22"/>
          <w:szCs w:val="22"/>
        </w:rPr>
        <w:t xml:space="preserve">Factor 5 — Zona geográfica del cliente, del bien o de la operación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Ubicación del domicilio del cliente, del inmueble o de la sociedad involucrada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Zona residencial o comercial convencional en estado sin alerta</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Zona fronteriza, turística de alta densidad, o con alerta moderada</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Zona con alta incidencia delictiva, jurisdicción de baja o nula tributación, o clasificada de alto riesgo por GAFI/FATF</w:t>
            </w:r>
          </w:p>
        </w:tc>
      </w:tr>
    </w:tbl>
    <w:p>
      <w:pPr>
        <w:spacing w:after="100" w:before="160"/>
      </w:pPr>
      <w:r>
        <w:rPr>
          <w:rFonts w:ascii="Calibri" w:cs="Calibri" w:eastAsia="Calibri" w:hAnsi="Calibri"/>
          <w:b/>
          <w:bCs/>
          <w:sz w:val="22"/>
          <w:szCs w:val="22"/>
        </w:rPr>
        <w:t xml:space="preserve">Factor 6 — Vínculo con Personas Políticamente Expuestas (PEP's)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33"/>
        <w:gridCol w:w="2333"/>
        <w:gridCol w:w="2334"/>
      </w:tblGrid>
      <w:tr>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Descripción</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Bajo (1)</w:t>
            </w:r>
          </w:p>
        </w:tc>
        <w:tc>
          <w:tcPr>
            <w:tcW w:type="dxa" w:w="2333"/>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Medio (2)</w:t>
            </w:r>
          </w:p>
        </w:tc>
        <w:tc>
          <w:tcPr>
            <w:tcW w:type="dxa" w:w="2334"/>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Alto (3)</w:t>
            </w:r>
          </w:p>
        </w:tc>
      </w:tr>
      <w:tr>
        <w:tc>
          <w:tcPr>
            <w:tcW w:type="dxa" w:w="2500"/>
            <w:tcMar>
              <w:top w:type="dxa" w:w="60"/>
              <w:left w:type="dxa" w:w="100"/>
              <w:bottom w:type="dxa" w:w="60"/>
              <w:right w:type="dxa" w:w="100"/>
            </w:tcMar>
            <w:vAlign w:val="center"/>
          </w:tcPr>
          <w:p>
            <w:pPr>
              <w:spacing w:after="0"/>
            </w:pPr>
            <w:r>
              <w:rPr>
                <w:rFonts w:ascii="Calibri" w:cs="Calibri" w:eastAsia="Calibri" w:hAnsi="Calibri"/>
                <w:sz w:val="20"/>
                <w:szCs w:val="20"/>
              </w:rPr>
              <w:t xml:space="preserve">Relación con funcionarios públicos, del cliente, socios, apoderados o beneficiario controlador</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Sin vínculo con PEP's declarado y verificado</w:t>
            </w:r>
          </w:p>
        </w:tc>
        <w:tc>
          <w:tcPr>
            <w:tcW w:type="dxa" w:w="2333"/>
            <w:tcMar>
              <w:top w:type="dxa" w:w="60"/>
              <w:left w:type="dxa" w:w="100"/>
              <w:bottom w:type="dxa" w:w="60"/>
              <w:right w:type="dxa" w:w="100"/>
            </w:tcMar>
            <w:vAlign w:val="center"/>
          </w:tcPr>
          <w:p>
            <w:pPr>
              <w:spacing w:after="0"/>
            </w:pPr>
            <w:r>
              <w:rPr>
                <w:rFonts w:ascii="Calibri" w:cs="Calibri" w:eastAsia="Calibri" w:hAnsi="Calibri"/>
                <w:sz w:val="20"/>
                <w:szCs w:val="20"/>
              </w:rPr>
              <w:t xml:space="preserve">Vínculo indirecto con un PEP que no lo asimila como tal (conocido o colaborador sin vínculos patrimoniales)</w:t>
            </w:r>
          </w:p>
        </w:tc>
        <w:tc>
          <w:tcPr>
            <w:tcW w:type="dxa" w:w="2334"/>
            <w:tcMar>
              <w:top w:type="dxa" w:w="60"/>
              <w:left w:type="dxa" w:w="100"/>
              <w:bottom w:type="dxa" w:w="60"/>
              <w:right w:type="dxa" w:w="100"/>
            </w:tcMar>
            <w:vAlign w:val="center"/>
          </w:tcPr>
          <w:p>
            <w:pPr>
              <w:spacing w:after="0"/>
            </w:pPr>
            <w:r>
              <w:rPr>
                <w:rFonts w:ascii="Calibri" w:cs="Calibri" w:eastAsia="Calibri" w:hAnsi="Calibri"/>
                <w:sz w:val="20"/>
                <w:szCs w:val="20"/>
              </w:rPr>
              <w:t xml:space="preserve">El cliente, socio, apoderado o beneficiario controlador es PEP —nacional o extranjero—, o está asimilado a uno (cónyuge, concubino, parientes hasta el segundo grado, socios con vínculos patrimoniales; art. 23 Quáter RCG)</w:t>
            </w:r>
          </w:p>
        </w:tc>
      </w:tr>
    </w:tbl>
    <w:p>
      <w:pPr>
        <w:spacing w:after="120" w:before="240"/>
      </w:pPr>
      <w:r>
        <w:rPr>
          <w:rFonts w:ascii="Calibri" w:cs="Calibri" w:eastAsia="Calibri" w:hAnsi="Calibri"/>
          <w:b/>
          <w:bCs/>
          <w:color w:val="1F3864"/>
          <w:sz w:val="24"/>
          <w:szCs w:val="24"/>
        </w:rPr>
        <w:t xml:space="preserve">III. Clasificación de Riesgo y Acciones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Puntuación total</w:t>
            </w:r>
          </w:p>
        </w:tc>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Nivel de riesgo</w:t>
            </w:r>
          </w:p>
        </w:tc>
        <w:tc>
          <w:tcPr>
            <w:tcW w:type="dxa" w:w="50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Acciones requeridas</w:t>
            </w:r>
          </w:p>
        </w:tc>
      </w:tr>
      <w:tr>
        <w:tc>
          <w:tcPr>
            <w:tcW w:type="dxa" w:w="2000"/>
            <w:tcMar>
              <w:top w:type="dxa" w:w="60"/>
              <w:left w:type="dxa" w:w="100"/>
              <w:bottom w:type="dxa" w:w="60"/>
              <w:right w:type="dxa" w:w="100"/>
            </w:tcMar>
            <w:vAlign w:val="center"/>
          </w:tcPr>
          <w:p>
            <w:pPr>
              <w:spacing w:after="0"/>
            </w:pPr>
            <w:r>
              <w:rPr>
                <w:rFonts w:ascii="Calibri" w:cs="Calibri" w:eastAsia="Calibri" w:hAnsi="Calibri"/>
                <w:sz w:val="22"/>
                <w:szCs w:val="22"/>
              </w:rPr>
              <w:t xml:space="preserve">6 a 9 puntos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BAJO — VERDE</w:t>
            </w:r>
          </w:p>
        </w:tc>
        <w:tc>
          <w:tcPr>
            <w:tcW w:type="dxa" w:w="5000"/>
            <w:tcMar>
              <w:top w:type="dxa" w:w="60"/>
              <w:left w:type="dxa" w:w="100"/>
              <w:bottom w:type="dxa" w:w="60"/>
              <w:right w:type="dxa" w:w="100"/>
            </w:tcMar>
            <w:vAlign w:val="center"/>
          </w:tcPr>
          <w:p>
            <w:pPr>
              <w:spacing w:after="0"/>
            </w:pPr>
            <w:r>
              <w:rPr>
                <w:rFonts w:ascii="Calibri" w:cs="Calibri" w:eastAsia="Calibri" w:hAnsi="Calibri"/>
                <w:sz w:val="22"/>
                <w:szCs w:val="22"/>
              </w:rPr>
              <w:t xml:space="preserve">Medidas simplificadas (art. 17 RCG) con los datos mínimos de los Anexos. Reevaluación del Grado de Riesgo al menos cada seis meses (art. 23 Bis 1 RCG).</w:t>
            </w:r>
          </w:p>
        </w:tc>
      </w:tr>
      <w:tr>
        <w:tc>
          <w:tcPr>
            <w:tcW w:type="dxa" w:w="2000"/>
            <w:tcMar>
              <w:top w:type="dxa" w:w="60"/>
              <w:left w:type="dxa" w:w="100"/>
              <w:bottom w:type="dxa" w:w="60"/>
              <w:right w:type="dxa" w:w="100"/>
            </w:tcMar>
            <w:vAlign w:val="center"/>
          </w:tcPr>
          <w:p>
            <w:pPr>
              <w:spacing w:after="0"/>
            </w:pPr>
            <w:r>
              <w:rPr>
                <w:rFonts w:ascii="Calibri" w:cs="Calibri" w:eastAsia="Calibri" w:hAnsi="Calibri"/>
                <w:sz w:val="22"/>
                <w:szCs w:val="22"/>
              </w:rPr>
              <w:t xml:space="preserve">10 a 14 puntos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MEDIO — AMARILLO</w:t>
            </w:r>
          </w:p>
        </w:tc>
        <w:tc>
          <w:tcPr>
            <w:tcW w:type="dxa" w:w="5000"/>
            <w:tcMar>
              <w:top w:type="dxa" w:w="60"/>
              <w:left w:type="dxa" w:w="100"/>
              <w:bottom w:type="dxa" w:w="60"/>
              <w:right w:type="dxa" w:w="100"/>
            </w:tcMar>
            <w:vAlign w:val="center"/>
          </w:tcPr>
          <w:p>
            <w:pPr>
              <w:spacing w:after="0"/>
            </w:pPr>
            <w:r>
              <w:rPr>
                <w:rFonts w:ascii="Calibri" w:cs="Calibri" w:eastAsia="Calibri" w:hAnsi="Calibri"/>
                <w:sz w:val="22"/>
                <w:szCs w:val="22"/>
              </w:rPr>
              <w:t xml:space="preserve">Expediente de identificación completo (art. 17 Bis RCG). Verificación adicional del origen de recursos o activos. Reevaluación con mayor frecuencia que el nivel bajo.</w:t>
            </w:r>
          </w:p>
        </w:tc>
      </w:tr>
      <w:tr>
        <w:tc>
          <w:tcPr>
            <w:tcW w:type="dxa" w:w="2000"/>
            <w:tcMar>
              <w:top w:type="dxa" w:w="60"/>
              <w:left w:type="dxa" w:w="100"/>
              <w:bottom w:type="dxa" w:w="60"/>
              <w:right w:type="dxa" w:w="100"/>
            </w:tcMar>
            <w:vAlign w:val="center"/>
          </w:tcPr>
          <w:p>
            <w:pPr>
              <w:spacing w:after="0"/>
            </w:pPr>
            <w:r>
              <w:rPr>
                <w:rFonts w:ascii="Calibri" w:cs="Calibri" w:eastAsia="Calibri" w:hAnsi="Calibri"/>
                <w:sz w:val="22"/>
                <w:szCs w:val="22"/>
              </w:rPr>
              <w:t xml:space="preserve">15 a 18 puntos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ALTO — ROJO</w:t>
            </w:r>
          </w:p>
        </w:tc>
        <w:tc>
          <w:tcPr>
            <w:tcW w:type="dxa" w:w="5000"/>
            <w:tcMar>
              <w:top w:type="dxa" w:w="60"/>
              <w:left w:type="dxa" w:w="100"/>
              <w:bottom w:type="dxa" w:w="60"/>
              <w:right w:type="dxa" w:w="100"/>
            </w:tcMar>
            <w:vAlign w:val="center"/>
          </w:tcPr>
          <w:p>
            <w:pPr>
              <w:spacing w:after="0"/>
            </w:pPr>
            <w:r>
              <w:rPr>
                <w:rFonts w:ascii="Calibri" w:cs="Calibri" w:eastAsia="Calibri" w:hAnsi="Calibri"/>
                <w:sz w:val="22"/>
                <w:szCs w:val="22"/>
              </w:rPr>
              <w:t xml:space="preserve">Debida diligencia reforzada (arts. 23 Ter 3 y 23 Ter 4 RCG), incluida la del beneficiario controlador. Reevaluación con la mayor frecuencia. Reporte al Repr. de Cumplimiento (o autoevaluación documentada, si es persona física). Consideración de no aceptar o de terminar el asunto. Aviso ante la Secretaría si, conforme a la Sección II.2 del D1-PROF, el profesional lleva a cabo una operación financiera en nombre y representación del cliente; y, ante sospecha o indicios, Aviso dentro de las 24 horas (art. 18, fr. VI).</w:t>
            </w:r>
          </w:p>
        </w:tc>
      </w:tr>
    </w:tbl>
    <w:p>
      <w:pPr>
        <w:spacing w:after="120"/>
      </w:pPr>
      <w:r>
        <w:rPr>
          <w:rFonts w:ascii="Calibri" w:cs="Calibri" w:eastAsia="Calibri" w:hAnsi="Calibri"/>
          <w:i/>
          <w:iCs/>
          <w:sz w:val="22"/>
          <w:szCs w:val="22"/>
        </w:rPr>
        <w:t xml:space="preserve">Nota: a diferencia de las variantes con umbral (inmobiliaria, notarial), aquí ningún nivel de riesgo exime ni activa por sí solo la obligación de aviso — ésta se determina exclusivamente por el binomio preparación/representación del inciso aplicable, conforme al D1-PROF, Sección II.2. La clasificación EBR determina la intensidad de la debida diligencia, y es especialmente relevante para decidir si el profesional acepta o continúa un asunto con un cliente de riesgo alto.</w:t>
      </w:r>
    </w:p>
    <w:p>
      <w:pPr>
        <w:spacing w:after="110"/>
      </w:pPr>
      <w:r>
        <w:rPr>
          <w:rFonts w:ascii="Calibri" w:cs="Calibri" w:eastAsia="Calibri" w:hAnsi="Calibri"/>
          <w:sz w:val="20"/>
          <w:szCs w:val="20"/>
        </w:rPr>
        <w:t xml:space="preserve">Reglas mínimas (arts. 23 Bis a 23 Bis 4 RCG). (i) La puntuación se reevalúa al menos cada seis meses y siempre que cambie el perfil del cliente. (ii) Se clasifica como ALTO, con independencia de la puntuación, al cliente no residente vinculado con jurisdicciones de régimen fiscal preferente o con deficiencias señaladas por la UIF u organismos internacionales, y a toda PEP extranjera; en esos casos se asientan las razones por las que el cliente contrató en México (art. 23 Bis 4). (iii) Para PEP nacionales se verifica que el comportamiento transaccional corresponda con sus ingresos, funciones, nivel y responsabilidad (art. 23 Bis 3). (iv) El modelo y su metodología forman parte del Manual (D5-PROF) y se conserva el historial de cambios de Grado de Riesgo por diez años. (v) La evaluación de riesgos del propio sujeto obligado (art. 18, fr. VII) debe estar disponible ante requerimiento a partir del 1 de marzo de 2027, con información del año anterior.</w:t>
      </w:r>
    </w:p>
    <w:p>
      <w:pPr>
        <w:spacing w:after="120" w:before="240"/>
      </w:pPr>
      <w:r>
        <w:rPr>
          <w:rFonts w:ascii="Calibri" w:cs="Calibri" w:eastAsia="Calibri" w:hAnsi="Calibri"/>
          <w:b/>
          <w:bCs/>
          <w:color w:val="1F3864"/>
          <w:sz w:val="24"/>
          <w:szCs w:val="24"/>
        </w:rPr>
        <w:t xml:space="preserve">IV. Ficha de Evaluación EBR por Cliente / Asunto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Cliente:</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Tipo: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 PF    [ ] PM</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Servicio / asunto: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[Descripción — precisar inciso a-e aplicable, si lo hay]</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Fecha: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[Fecha]</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Evaluador:</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 del profesional o del Repr. de Cumplimiento]</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000"/>
      </w:tblGrid>
      <w:tr>
        <w:tc>
          <w:tcPr>
            <w:tcW w:type="dxa" w:w="40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Factor</w:t>
            </w:r>
          </w:p>
        </w:tc>
        <w:tc>
          <w:tcPr>
            <w:tcW w:type="dxa" w:w="25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Calificación (1-2-3)</w:t>
            </w:r>
          </w:p>
        </w:tc>
        <w:tc>
          <w:tcPr>
            <w:tcW w:type="dxa" w:w="3000"/>
            <w:shd w:fill="D9D9D9" w:val="clear"/>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Observaciones</w:t>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1. Perfil del cliente</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2. Origen de recursos o activos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3. Tipo de servicio (incisos a-e)</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4. Monto o cuantía</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5. Zona geográfica</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sz w:val="22"/>
                <w:szCs w:val="22"/>
              </w:rPr>
              <w:t xml:space="preserve">6. Vínculo con PEP's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 ] 1  [ ] 2  [ ] 3</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4000"/>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TOTAL DE PUNTOS</w:t>
            </w:r>
          </w:p>
        </w:tc>
        <w:tc>
          <w:tcPr>
            <w:tcW w:type="dxa" w:w="2500"/>
            <w:tcMar>
              <w:top w:type="dxa" w:w="60"/>
              <w:left w:type="dxa" w:w="100"/>
              <w:bottom w:type="dxa" w:w="60"/>
              <w:right w:type="dxa" w:w="100"/>
            </w:tcMar>
            <w:vAlign w:val="center"/>
          </w:tcPr>
          <w:p>
            <w:pPr>
              <w:spacing w:after="0"/>
            </w:pPr>
            <w:r>
              <w:rPr>
                <w:rFonts w:ascii="Calibri" w:cs="Calibri" w:eastAsia="Calibri" w:hAnsi="Calibri"/>
                <w:sz w:val="22"/>
                <w:szCs w:val="22"/>
              </w:rPr>
              <w:t xml:space="preserve">_____ / 18</w:t>
            </w:r>
          </w:p>
        </w:tc>
        <w:tc>
          <w:tcPr>
            <w:tcW w:type="dxa" w:w="3000"/>
            <w:tcMar>
              <w:top w:type="dxa" w:w="60"/>
              <w:left w:type="dxa" w:w="100"/>
              <w:bottom w:type="dxa" w:w="60"/>
              <w:right w:type="dxa" w:w="100"/>
            </w:tcMar>
            <w:vAlign w:val="center"/>
          </w:tcPr>
          <w:p>
            <w:pPr>
              <w:spacing w:after="0"/>
            </w:pPr>
            <w:r>
              <w:rPr>
                <w:rFonts w:ascii="Calibri" w:cs="Calibri" w:eastAsia="Calibri" w:hAnsi="Calibri"/>
                <w:sz w:val="22"/>
                <w:szCs w:val="22"/>
              </w:rPr>
              <w:t xml:space="preserve">Nivel: [ ] BAJO  [ ] MEDIO  [ ] ALTO</w:t>
            </w:r>
          </w:p>
        </w:tc>
      </w:tr>
    </w:tbl>
    <w:p>
      <w:pPr>
        <w:spacing w:after="60"/>
      </w:pPr>
      <w:r>
        <w:rPr>
          <w:rFonts w:ascii="Calibri" w:cs="Calibri" w:eastAsia="Calibri" w:hAnsi="Calibri"/>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Decisión:</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 Aceptar/continuar con monitoreo ordinario   [ ] Aceptar con medidas reforzadas   [ ] Consultar internamente   [ ] No aceptar / terminar el asunto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¿Se activa deber de aviso? (conforme al D1-PROF, Sec. II.2):</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 Sí — el profesional llevará a cabo una operación financiera en nombre y representación del cliente relacionada con un inciso a-e   [ ] No — solo preparación o asesoría (identificación obligatoria; Aviso solo si hay sospecha, art. 18, fr. VI)</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Firma del evaluador:</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Fecha: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Apoyo Certus PLD:</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contacto@certusconsultores.com.mx │ 999 163 1363</w:t>
            </w:r>
          </w:p>
        </w:tc>
      </w:tr>
    </w:tbl>
    <w:p>
      <w:pPr>
        <w:spacing w:after="120"/>
      </w:pPr>
      <w:r>
        <w:rPr>
          <w:rFonts w:ascii="Calibri" w:cs="Calibri" w:eastAsia="Calibri" w:hAnsi="Calibri"/>
          <w:sz w:val="18"/>
          <w:szCs w:val="18"/>
        </w:rPr>
        <w:t xml:space="preserve">CERTUS CONSULTORES  |  Certus PLD  |  Mérida, Yucatán  |  999 163 1363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2026-09-09T17:04:37.636Z</dcterms:created>
  <dcterms:modified xsi:type="dcterms:W3CDTF">2026-09-09T17:04:37.636Z</dcterms:modified>
</cp:coreProperties>
</file>

<file path=docProps/custom.xml><?xml version="1.0" encoding="utf-8"?>
<Properties xmlns="http://schemas.openxmlformats.org/officeDocument/2006/custom-properties" xmlns:vt="http://schemas.openxmlformats.org/officeDocument/2006/docPropsVTypes"/>
</file>