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CERTUS PLD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│  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D9-PROF Reporte de Operación Inusual (ROI) — Servicios Profesionales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Profesional / Despacho: [Nombre]   │   Variante: Servicios Profesionales — Fracción XI LFPIORPI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No. de reporte interno: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[Número secuencial]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Profesional / Despacho: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[Nombre]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Fecha de detección: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[Fecha]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Expediente KYC relacionado (D7-PROF):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[No. de expediente]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Plazo legal para aviso a la Secretaría: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24 horas desde que se tuvo conocimiento o se generó la sospecha (Art. 18, fracción VI LFPIORPI)</w:t>
            </w:r>
          </w:p>
        </w:tc>
      </w:tr>
    </w:tbl>
    <w:p>
      <w:pP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I. Objetivo</w:t>
      </w:r>
    </w:p>
    <w:p>
      <w:p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Este documento guía la identificación y el reporte interno de operaciones inusuales detectadas por el profesional o despacho en la prestación de servicios comprendidos en el artículo 17, Fracción XI de la LFPIORPI, previo a la presentación del Aviso correspondiente ante la Secretaría, conforme al artículo 18, fracción VI. El Aviso por sospecha o indicios (24 horas) procede en todo caso en que el profesional se encuentre en el supuesto de la Fracción XI, aun en fase de preparación; el Aviso mensual del art. 23 procede solo cuando el profesional lleva a cabo operaciones financieras en nombre y representación del cliente (D1-PROF, Sección II.2).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II. Catálogo de señales de alerta por inciso</w:t>
      </w:r>
    </w:p>
    <w:p>
      <w:pPr>
        <w:spacing w:after="9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 Compraventa de inmuebles o cesión de derechos sobre estos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300"/>
        <w:gridCol w:w="1500"/>
      </w:tblGrid>
      <w:tr>
        <w:tc>
          <w:tcPr>
            <w:tcW w:type="dxa" w:w="7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Inciso</w:t>
            </w:r>
          </w:p>
        </w:tc>
        <w:tc>
          <w:tcPr>
            <w:tcW w:type="dxa" w:w="7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Señal de alerta</w:t>
            </w:r>
          </w:p>
        </w:tc>
        <w:tc>
          <w:tcPr>
            <w:tcW w:type="dxa" w:w="1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Nivel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Precio pactado significativamente inferior al valor catastral o comercial del inmueble, sin justificación económica aparente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Pago total o parcial en efectivo cercano al límite del artículo 32, o fraccionado en varios pagos para evitarlo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Adquirente que no puede explicar el origen de los recursos o cuyo perfil declarado es incongruente con el valor del inmueble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ALTO</w:t>
            </w:r>
          </w:p>
        </w:tc>
      </w:tr>
    </w:tbl>
    <w:p>
      <w:pPr>
        <w:spacing w:after="9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 Administración y manejo de recursos, valores o activos del cliente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300"/>
        <w:gridCol w:w="1500"/>
      </w:tblGrid>
      <w:tr>
        <w:tc>
          <w:tcPr>
            <w:tcW w:type="dxa" w:w="7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Inciso</w:t>
            </w:r>
          </w:p>
        </w:tc>
        <w:tc>
          <w:tcPr>
            <w:tcW w:type="dxa" w:w="7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Señal de alerta</w:t>
            </w:r>
          </w:p>
        </w:tc>
        <w:tc>
          <w:tcPr>
            <w:tcW w:type="dxa" w:w="1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Nivel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Instrucciones de transferencia de los recursos administrados hacia jurisdicciones de alto riesgo o de baja/nula tributación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Movimientos de los recursos administrados sin relación aparente con la actividad económica declarada del cliente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Solicitud de retiros fraccionados en efectivo de los recursos administrados, sin justificación aparente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ALTO</w:t>
            </w:r>
          </w:p>
        </w:tc>
      </w:tr>
    </w:tbl>
    <w:p>
      <w:pPr>
        <w:spacing w:after="9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 Manejo de cuentas bancarias, de ahorro o de valores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300"/>
        <w:gridCol w:w="1500"/>
      </w:tblGrid>
      <w:tr>
        <w:tc>
          <w:tcPr>
            <w:tcW w:type="dxa" w:w="7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Inciso</w:t>
            </w:r>
          </w:p>
        </w:tc>
        <w:tc>
          <w:tcPr>
            <w:tcW w:type="dxa" w:w="7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Señal de alerta</w:t>
            </w:r>
          </w:p>
        </w:tc>
        <w:tc>
          <w:tcPr>
            <w:tcW w:type="dxa" w:w="1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Nivel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Depósitos múltiples y fraccionados en la cuenta administrada, por montos que evitan los umbrales de reporte bancario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cuenta se utiliza como paso (pass-through) de fondos, sin relación aparente con la actividad del cliente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Solicitud de facultades sobre la cuenta a favor de terceros no identificados o no relacionados con el cliente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MEDIO</w:t>
            </w:r>
          </w:p>
        </w:tc>
      </w:tr>
    </w:tbl>
    <w:p>
      <w:pPr>
        <w:spacing w:after="9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 Organización de aportaciones de capital para sociedades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300"/>
        <w:gridCol w:w="1500"/>
      </w:tblGrid>
      <w:tr>
        <w:tc>
          <w:tcPr>
            <w:tcW w:type="dxa" w:w="7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Inciso</w:t>
            </w:r>
          </w:p>
        </w:tc>
        <w:tc>
          <w:tcPr>
            <w:tcW w:type="dxa" w:w="7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Señal de alerta</w:t>
            </w:r>
          </w:p>
        </w:tc>
        <w:tc>
          <w:tcPr>
            <w:tcW w:type="dxa" w:w="1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Nivel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Aportantes que no pueden acreditar el origen de los recursos aportados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Aportaciones desproporcionadas respecto del perfil económico declarado del aportante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Aportantes extranjeros de jurisdicciones de alto riesgo (listas GAFI) sin vínculo aparente con el negocio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ALTO</w:t>
            </w:r>
          </w:p>
        </w:tc>
      </w:tr>
    </w:tbl>
    <w:p>
      <w:pPr>
        <w:spacing w:after="90" w:before="1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e) Constitución, fusión, administración de personas morales o vehículos corporativos (incluido fideicomiso), y compra/venta de entidades mercantiles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300"/>
        <w:gridCol w:w="1500"/>
      </w:tblGrid>
      <w:tr>
        <w:tc>
          <w:tcPr>
            <w:tcW w:type="dxa" w:w="7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Inciso</w:t>
            </w:r>
          </w:p>
        </w:tc>
        <w:tc>
          <w:tcPr>
            <w:tcW w:type="dxa" w:w="73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Señal de alerta</w:t>
            </w:r>
          </w:p>
        </w:tc>
        <w:tc>
          <w:tcPr>
            <w:tcW w:type="dxa" w:w="1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Nivel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Estructura societaria con accionistas o socios en cascada que dificulta identificar al beneficiario controlador final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Socios, fideicomitentes o fideicomisarios de jurisdicciones de alto riesgo sin actividad económica aparente en México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Capital social desproporcionadamente alto para el giro declarado, aportado en efectivo o sin soporte documental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</w:t>
            </w:r>
          </w:p>
        </w:tc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Compra o venta de la entidad mercantil entre partes sin vínculo aparente, a un precio muy alejado del valor contable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MEDIO</w:t>
            </w:r>
          </w:p>
        </w:tc>
      </w:tr>
    </w:tbl>
    <w:p>
      <w:pP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III. Procedimiento de reporte interno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• El profesional (o el Encargado Operativo, bajo su supervisión) identifica la señal de alerta durante la integración del expediente KYC (D7-PROF) o durante la prestación del servicio.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• Se documenta la alerta en este formato, incluyendo la justificación de por qué se considera inusual conforme al catálogo de la Sección II.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• El profesional evalúa si procede la abstención de continuar el servicio conforme al artículo 21 LFPIORPI, cuando el cliente se niegue a proporcionar la información requerida.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• Se confirma, conforme al D1-PROF Sección II.2, si el profesional lleva a cabo una operación financiera en nombre y representación del cliente (Aviso mensual). Con independencia de ello, ante sospecha o información basada en hechos o indicios de que los recursos pudieran provenir o estar destinados a delitos de operaciones con recursos de procedencia ilícita, el Aviso de 24 horas es obligatorio aun en fase de preparación (art. 18, fr. VI; arts. 26 Bis y 26 Bis 1 RCG), conforme al criterio de secreto profesional del D1-PROF, Sección IV.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• Si procede, se presenta el Aviso correspondiente ante la Secretaría dentro de las 24 horas siguientes a la detección de la sospecha, incluso si el servicio no llegó a prestarse.</w:t>
      </w:r>
    </w:p>
    <w:p>
      <w:p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• Se conserva este reporte, junto con el acuse del Aviso presentado (si aplica), en el expediente KYC del cliente por el plazo de 10 años (Art. 18, fracción IV).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IV. Registro del reporte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Inciso(s) involucrado(s):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 ] a)   [ ] b)   [ ] c)   [ ] d)   [ ] e)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Señal(es) de alerta identificada(s):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[Describir conforme al catálogo de la Sección II]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Nivel de riesgo: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 ] MEDIO    [ ] ALTO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¿El profesional actúa en nombre y representación del cliente?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 ] Sí — Aviso de 24 horas obligatorio si se confirma la sospecha; la operación financiera queda además sujeta al Aviso mensual   [ ] No — solo preparación/asesoría; el Aviso de 24 horas procede igualmente si existe sospecha o indicios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¿Se continuó con el servicio?: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 ] Sí    [ ] No — se ejerció la abstención del Art. 21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Fecha de presentación del Aviso: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[Fecha — dentro de las 24 horas siguientes, si aplica]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Folio del Aviso: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[Folio]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Elaboró: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[Nombre]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AVISO CONFIDENCIAL: Este reporte NO debe ser comunicado al cliente bajo ningún concepto. La divulgación puede constituir el delito de 'tipping off' previsto por la LFPIORPI (arts. 50 y 63, fr. II; art. 31 RCG), sin perjuicio del deber de secreto profesional y garantía de defensa aplicable a esta fracción (Art. 17, fracción XI, in fine).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10"/>
      </w:pPr>
      <w:r>
        <w:rPr>
          <w:rFonts w:ascii="Calibri" w:cs="Calibri" w:eastAsia="Calibri" w:hAnsi="Calibri"/>
          <w:sz w:val="18"/>
          <w:szCs w:val="18"/>
        </w:rPr>
        <w:t xml:space="preserve">CERTUS CONSULTORES  |  Certus PLD  |  Mérida, Yucatán  |  999 163 1363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2026-09-10T20:57:34.744Z</dcterms:created>
  <dcterms:modified xsi:type="dcterms:W3CDTF">2026-09-10T20:57:34.744Z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