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D5 — Manual de Políticas Internas PLD/FT (Manual de Cumplimiento) — Inmobiliaria Mixta</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Mar>
              <w:top w:type="dxa" w:w="70"/>
              <w:left w:type="dxa" w:w="100"/>
              <w:bottom w:type="dxa" w:w="70"/>
              <w:right w:type="dxa" w:w="100"/>
            </w:tcMar>
          </w:tcPr>
          <w:p>
            <w:r>
              <w:rPr>
                <w:b w:val="false"/>
                <w:bCs w:val="false"/>
                <w:sz w:val="18"/>
                <w:szCs w:val="18"/>
              </w:rPr>
              <w:t xml:space="preserve">Empresa:</w:t>
            </w:r>
          </w:p>
        </w:tc>
        <w:tc>
          <w:tcPr>
            <w:tcW w:type="dxa" w:w="7400"/>
            <w:tcMar>
              <w:top w:type="dxa" w:w="70"/>
              <w:left w:type="dxa" w:w="100"/>
              <w:bottom w:type="dxa" w:w="70"/>
              <w:right w:type="dxa" w:w="100"/>
            </w:tcMar>
          </w:tcPr>
          <w:p>
            <w:r>
              <w:rPr>
                <w:b w:val="false"/>
                <w:bCs w:val="false"/>
                <w:sz w:val="18"/>
                <w:szCs w:val="18"/>
              </w:rPr>
              <w:t xml:space="preserve">[EMPRESA]</w:t>
            </w:r>
          </w:p>
        </w:tc>
      </w:tr>
      <w:tr>
        <w:tc>
          <w:tcPr>
            <w:tcW w:type="dxa" w:w="2200"/>
            <w:tcMar>
              <w:top w:type="dxa" w:w="70"/>
              <w:left w:type="dxa" w:w="100"/>
              <w:bottom w:type="dxa" w:w="70"/>
              <w:right w:type="dxa" w:w="100"/>
            </w:tcMar>
          </w:tcPr>
          <w:p>
            <w:r>
              <w:rPr>
                <w:b w:val="false"/>
                <w:bCs w:val="false"/>
                <w:sz w:val="18"/>
                <w:szCs w:val="18"/>
              </w:rPr>
              <w:t xml:space="preserve">RFC:</w:t>
            </w:r>
          </w:p>
        </w:tc>
        <w:tc>
          <w:tcPr>
            <w:tcW w:type="dxa" w:w="7400"/>
            <w:tcMar>
              <w:top w:type="dxa" w:w="70"/>
              <w:left w:type="dxa" w:w="100"/>
              <w:bottom w:type="dxa" w:w="70"/>
              <w:right w:type="dxa" w:w="100"/>
            </w:tcMar>
          </w:tcPr>
          <w:p>
            <w:r>
              <w:rPr>
                <w:b w:val="false"/>
                <w:bCs w:val="false"/>
                <w:sz w:val="18"/>
                <w:szCs w:val="18"/>
              </w:rPr>
              <w:t xml:space="preserve">[RFC_EMPRESA]</w:t>
            </w:r>
          </w:p>
        </w:tc>
      </w:tr>
      <w:tr>
        <w:tc>
          <w:tcPr>
            <w:tcW w:type="dxa" w:w="2200"/>
            <w:tcMar>
              <w:top w:type="dxa" w:w="70"/>
              <w:left w:type="dxa" w:w="100"/>
              <w:bottom w:type="dxa" w:w="70"/>
              <w:right w:type="dxa" w:w="100"/>
            </w:tcMar>
          </w:tcPr>
          <w:p>
            <w:r>
              <w:rPr>
                <w:b w:val="false"/>
                <w:bCs w:val="false"/>
                <w:sz w:val="18"/>
                <w:szCs w:val="18"/>
              </w:rPr>
              <w:t xml:space="preserve">Versión:</w:t>
            </w:r>
          </w:p>
        </w:tc>
        <w:tc>
          <w:tcPr>
            <w:tcW w:type="dxa" w:w="7400"/>
            <w:tcMar>
              <w:top w:type="dxa" w:w="70"/>
              <w:left w:type="dxa" w:w="100"/>
              <w:bottom w:type="dxa" w:w="70"/>
              <w:right w:type="dxa" w:w="100"/>
            </w:tcMar>
          </w:tcPr>
          <w:p>
            <w:r>
              <w:rPr>
                <w:b w:val="false"/>
                <w:bCs w:val="false"/>
                <w:sz w:val="18"/>
                <w:szCs w:val="18"/>
              </w:rPr>
              <w:t xml:space="preserve">[VERSION] — [Fecha de adopción] │ Plantilla Certus PLD, edición octubre 2026 (Acuerdo 115/2026; Capítulo X RCG)</w:t>
            </w:r>
          </w:p>
        </w:tc>
      </w:tr>
      <w:tr>
        <w:tc>
          <w:tcPr>
            <w:tcW w:type="dxa" w:w="2200"/>
            <w:tcMar>
              <w:top w:type="dxa" w:w="70"/>
              <w:left w:type="dxa" w:w="100"/>
              <w:bottom w:type="dxa" w:w="70"/>
              <w:right w:type="dxa" w:w="100"/>
            </w:tcMar>
          </w:tcPr>
          <w:p>
            <w:r>
              <w:rPr>
                <w:b w:val="false"/>
                <w:bCs w:val="false"/>
                <w:sz w:val="18"/>
                <w:szCs w:val="18"/>
              </w:rPr>
              <w:t xml:space="preserve">Aprobado por:</w:t>
            </w:r>
          </w:p>
        </w:tc>
        <w:tc>
          <w:tcPr>
            <w:tcW w:type="dxa" w:w="7400"/>
            <w:tcMar>
              <w:top w:type="dxa" w:w="70"/>
              <w:left w:type="dxa" w:w="100"/>
              <w:bottom w:type="dxa" w:w="70"/>
              <w:right w:type="dxa" w:w="100"/>
            </w:tcMar>
          </w:tcPr>
          <w:p>
            <w:r>
              <w:rPr>
                <w:b w:val="false"/>
                <w:bCs w:val="false"/>
                <w:sz w:val="18"/>
                <w:szCs w:val="18"/>
              </w:rPr>
              <w:t xml:space="preserve">[Órgano de administración]</w:t>
            </w:r>
          </w:p>
        </w:tc>
      </w:tr>
      <w:tr>
        <w:tc>
          <w:tcPr>
            <w:tcW w:type="dxa" w:w="2200"/>
            <w:tcMar>
              <w:top w:type="dxa" w:w="70"/>
              <w:left w:type="dxa" w:w="100"/>
              <w:bottom w:type="dxa" w:w="70"/>
              <w:right w:type="dxa" w:w="100"/>
            </w:tcMar>
          </w:tcPr>
          <w:p>
            <w:r>
              <w:rPr>
                <w:b w:val="false"/>
                <w:bCs w:val="false"/>
                <w:sz w:val="18"/>
                <w:szCs w:val="18"/>
              </w:rPr>
              <w:t xml:space="preserve">Elaboró:</w:t>
            </w:r>
          </w:p>
        </w:tc>
        <w:tc>
          <w:tcPr>
            <w:tcW w:type="dxa" w:w="7400"/>
            <w:tcMar>
              <w:top w:type="dxa" w:w="70"/>
              <w:left w:type="dxa" w:w="100"/>
              <w:bottom w:type="dxa" w:w="70"/>
              <w:right w:type="dxa" w:w="100"/>
            </w:tcMar>
          </w:tcPr>
          <w:p>
            <w:r>
              <w:rPr>
                <w:b w:val="false"/>
                <w:bCs w:val="false"/>
                <w:sz w:val="18"/>
                <w:szCs w:val="18"/>
              </w:rPr>
              <w:t xml:space="preserve">Certus Consultores │ Certus PLD</w:t>
            </w:r>
          </w:p>
        </w:tc>
      </w:tr>
      <w:tr>
        <w:tc>
          <w:tcPr>
            <w:tcW w:type="dxa" w:w="2200"/>
            <w:tcMar>
              <w:top w:type="dxa" w:w="70"/>
              <w:left w:type="dxa" w:w="100"/>
              <w:bottom w:type="dxa" w:w="70"/>
              <w:right w:type="dxa" w:w="100"/>
            </w:tcMar>
          </w:tcPr>
          <w:p>
            <w:r>
              <w:rPr>
                <w:b w:val="false"/>
                <w:bCs w:val="false"/>
                <w:sz w:val="18"/>
                <w:szCs w:val="18"/>
              </w:rPr>
              <w:t xml:space="preserve">Contacto:</w:t>
            </w:r>
          </w:p>
        </w:tc>
        <w:tc>
          <w:tcPr>
            <w:tcW w:type="dxa" w:w="74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200"/>
            <w:tcMar>
              <w:top w:type="dxa" w:w="70"/>
              <w:left w:type="dxa" w:w="100"/>
              <w:bottom w:type="dxa" w:w="70"/>
              <w:right w:type="dxa" w:w="100"/>
            </w:tcMar>
          </w:tcPr>
          <w:p>
            <w:r>
              <w:rPr>
                <w:b w:val="false"/>
                <w:bCs w:val="false"/>
                <w:sz w:val="18"/>
                <w:szCs w:val="18"/>
              </w:rPr>
              <w:t xml:space="preserve">Vigencia:</w:t>
            </w:r>
          </w:p>
        </w:tc>
        <w:tc>
          <w:tcPr>
            <w:tcW w:type="dxa" w:w="7400"/>
            <w:tcMar>
              <w:top w:type="dxa" w:w="70"/>
              <w:left w:type="dxa" w:w="100"/>
              <w:bottom w:type="dxa" w:w="70"/>
              <w:right w:type="dxa" w:w="100"/>
            </w:tcMar>
          </w:tcPr>
          <w:p>
            <w:r>
              <w:rPr>
                <w:b w:val="false"/>
                <w:bCs w:val="false"/>
                <w:sz w:val="18"/>
                <w:szCs w:val="18"/>
              </w:rPr>
              <w:t xml:space="preserve">Un año a partir de la fecha de adopción — revisión anual obligatoria y cada vez que se reformen la Ley, el Reglamento o las Reglas de Carácter General</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las obligaciones creadas por el Acuerdo 115/2026, que reforma las Reglas de Carácter General (RCG) de la LFPIORPI, publicado en el DOF el 07/08/2026, en vigor a partir del 30/11/2026. La clasificación de Grado de Riesgo, la política de conocimiento del cliente y la identificación del Beneficiario Controlador (Capítulos III Bis, III Ter y III Quinquies de las RCG) son exigibles a partir del 1 de marzo de 2027; la auditoría anual obligatoria (Capítulo XIV de las RCG) aplica desde el ejercicio 2028.</w:t>
      </w:r>
      <w:r>
        <w:rPr>
          <w:i/>
          <w:iCs/>
          <w:sz w:val="19"/>
          <w:szCs w:val="19"/>
        </w:rPr>
        <w:t xml:space="preserve"> La edición de octubre de 2026 incorpora además el contenido mínimo del Manual de Políticas Internas del Capítulo X de las RCG (Arts. 37 a 37 Bis 3); ver Anexo A.</w:t>
      </w:r>
    </w:p>
    <w:p>
      <w:pPr>
        <w:pStyle w:val="Heading2"/>
        <w:spacing w:after="120" w:before="320"/>
      </w:pPr>
      <w:r>
        <w:t xml:space="preserve">Índice de capítulos</w:t>
      </w:r>
    </w:p>
    <w:p>
      <w:pPr>
        <w:spacing w:after="300"/>
      </w:pPr>
      <w:r>
        <w:rPr>
          <w:i/>
          <w:iCs/>
          <w:sz w:val="18"/>
          <w:szCs w:val="18"/>
        </w:rPr>
        <w:t xml:space="preserve">1. Introducción y marco normativo  |  2. Objeto y alcance  |  3. Organización y responsabilidades  |  4. Identificación y conocimiento del cliente (KYC)  |  5. Enfoque Basado en Riesgo (EBR) y clasificación del Grado de Riesgo  |  6. Medidas de debida diligencia según el Grado de Riesgo  |  7. Identificación del Beneficiario Controlador  |  8. Personas Políticamente Expuestas (PEP's)  |  9. Perfil transaccional y sistema de alertas  |  10. Operaciones inusuales y relevantes  |  11. Restricción de pagos en efectivo  |  12. Presentación de Avisos e Informes ante el SAT  |  13. Seguimiento y acumulación de actos u operaciones  |  14. Resguardo documental  |  15. Identificación de personas en listas de autoridades  |  16. Criterios para apertura, limitación y terminación de relaciones comerciales  |  17. Capacitación y selección del personal  |  18. Mecanismos automatizados  |  19. Auditoría anual  |  20. Confidencialidad  |  21. Sanciones aplicables  |  22. Actualización del Manual  |  23. Glosario</w:t>
      </w:r>
      <w:r>
        <w:rPr>
          <w:i/>
          <w:iCs/>
          <w:sz w:val="18"/>
          <w:szCs w:val="18"/>
        </w:rPr>
        <w:t xml:space="preserve">  |  Anexos: A. Correspondencia con el Art. 37 Bis  |  B. Cuestionario de Identificación Reforzada  |  C. Descripción Operativa  |  D. Control de versiones y difusión</w:t>
      </w:r>
    </w:p>
    <w:p>
      <w:pPr>
        <w:pStyle w:val="Heading2"/>
        <w:spacing w:after="120" w:before="320"/>
      </w:pPr>
      <w:r>
        <w:t xml:space="preserve">Capítulo 1. Introducción y marco normativo</w:t>
      </w:r>
    </w:p>
    <w:p>
      <w:pPr>
        <w:spacing w:after="120"/>
      </w:pPr>
      <w:r>
        <w:rPr>
          <w:sz w:val="20"/>
          <w:szCs w:val="20"/>
        </w:rPr>
        <w:t xml:space="preserve">El presente Manual de Políticas Internas en materia de PLD/FT ("Manual") es adoptado por [EMPRESA] en cumplimiento de las obligaciones establecidas en la LFPIORPI, su Reglamento y las Reglas de Carácter General (RCG) emitidas por la SHCP. Ha sido desarrollado por Certus Consultores a través del Programa Certus PLD, diseñado específicamente para inmobiliarias sujetas a las fracciones V, V Bis y XV del artículo 17 de la LFPIORPI.</w:t>
      </w:r>
    </w:p>
    <w:p>
      <w:pPr>
        <w:spacing w:after="80" w:before="160"/>
      </w:pPr>
      <w:r>
        <w:rPr>
          <w:b/>
          <w:bCs/>
          <w:color w:val="B08D57"/>
          <w:sz w:val="21"/>
          <w:szCs w:val="21"/>
        </w:rPr>
        <w:t xml:space="preserve">1.1 Base legal</w:t>
      </w:r>
    </w:p>
    <w:p>
      <w:pPr>
        <w:pStyle w:val="ListParagraph"/>
        <w:numPr>
          <w:ilvl w:val="0"/>
          <w:numId w:val="1"/>
        </w:numPr>
        <w:spacing w:after="60"/>
      </w:pPr>
      <w:r>
        <w:rPr>
          <w:sz w:val="20"/>
          <w:szCs w:val="20"/>
        </w:rPr>
        <w:t xml:space="preserve">LFPIORPI — reforma DOF 16 de julio de 2025 (vigente desde 17 de julio de 2025)</w:t>
      </w:r>
    </w:p>
    <w:p>
      <w:pPr>
        <w:pStyle w:val="ListParagraph"/>
        <w:numPr>
          <w:ilvl w:val="0"/>
          <w:numId w:val="1"/>
        </w:numPr>
        <w:spacing w:after="60"/>
      </w:pPr>
      <w:r>
        <w:rPr>
          <w:sz w:val="20"/>
          <w:szCs w:val="20"/>
        </w:rPr>
        <w:t xml:space="preserve">Reglamento de la LFPIORPI — reforma DOF 27 de marzo de 2026</w:t>
      </w:r>
    </w:p>
    <w:p>
      <w:pPr>
        <w:pStyle w:val="ListParagraph"/>
        <w:numPr>
          <w:ilvl w:val="0"/>
          <w:numId w:val="1"/>
        </w:numPr>
        <w:spacing w:after="60"/>
      </w:pPr>
      <w:r>
        <w:rPr>
          <w:sz w:val="20"/>
          <w:szCs w:val="20"/>
        </w:rPr>
        <w:t xml:space="preserve">Reglas de Carácter General emitidas por la SHCP en materia PLD/FT, y su reforma mediante el Acuerdo 115/2026 (DOF 07/08/2026, en vigor 30/11/2026)</w:t>
      </w:r>
    </w:p>
    <w:p>
      <w:pPr>
        <w:pStyle w:val="ListParagraph"/>
        <w:numPr>
          <w:ilvl w:val="0"/>
          <w:numId w:val="1"/>
        </w:numPr>
        <w:spacing w:after="60"/>
      </w:pPr>
      <w:r>
        <w:rPr>
          <w:sz w:val="20"/>
          <w:szCs w:val="20"/>
        </w:rPr>
        <w:t xml:space="preserve">Fracciones aplicables: V (construcción o desarrollo e intermediación en la compraventa de inmuebles), V Bis (recepción de recursos para Desarrollos Inmobiliarios, p. ej. preventas), XV (arrendamiento)</w:t>
      </w:r>
    </w:p>
    <w:p>
      <w:pPr>
        <w:spacing w:after="160" w:before="60"/>
      </w:pPr>
      <w:r>
        <w:rPr>
          <w:i/>
          <w:iCs/>
          <w:color w:val="666666"/>
          <w:sz w:val="19"/>
          <w:szCs w:val="19"/>
        </w:rPr>
        <w:t xml:space="preserve">El Acuerdo 115/2026 amplía las definiciones legales aplicables (Art. 3 RCG): Evaluación Nacional de Riesgos, Firma Electrónica, Grado de Riesgo, Manual de Políticas Internas, Mecanismos Automatizados, Mensaje de Datos, Mitigantes y Perfil Transaccional. Ver Capítulo 23 (Glosario).</w:t>
      </w:r>
    </w:p>
    <w:p>
      <w:pPr>
        <w:keepNext/>
        <w:spacing w:after="80" w:before="160"/>
      </w:pPr>
      <w:r>
        <w:rPr>
          <w:b/>
          <w:bCs/>
          <w:color w:val="B08D57"/>
          <w:sz w:val="21"/>
          <w:szCs w:val="21"/>
        </w:rPr>
        <w:t xml:space="preserve">1.2 Naturaleza, contenido y documentos que integran este Manual</w:t>
      </w:r>
    </w:p>
    <w:p>
      <w:pPr>
        <w:spacing w:after="120"/>
      </w:pPr>
      <w:r>
        <w:rPr>
          <w:sz w:val="20"/>
          <w:szCs w:val="20"/>
        </w:rPr>
        <w:t xml:space="preserve">Este documento es el Manual de Políticas Internas a que se refieren el Art. 2, fracción XI Bis, y el Capítulo X (Arts. 37 a 37 Bis 3) de las RCG. Contiene, por lo menos, los catorce rubros del Art. 37 Bis, así como el procedimiento y los criterios para la apertura, limitación o terminación de relaciones comerciales (Art. 37, tercer párrafo). El Anexo A relaciona cada rubro con el capítulo o documento que lo desarrolla.</w:t>
      </w:r>
    </w:p>
    <w:p>
      <w:pPr>
        <w:spacing w:after="120"/>
      </w:pPr>
      <w:r>
        <w:rPr>
          <w:sz w:val="20"/>
          <w:szCs w:val="20"/>
        </w:rPr>
        <w:t xml:space="preserve">Conforme al Art. 37, segundo párrafo, RCG, los documentos del Programa Certus PLD a los que remite este Manual (D6 Metodología EBR, D7 Expediente de identificación, D8 Política de PEP's, D9 Operaciones inusuales, D10 Resguardo documental, D11/D11B/D11C Capacitación, D12 Control de Avisos y D13 Auditoría) forman parte integrante de él; se conservan identificados con su versión y fecha junto con este Manual, y se ponen a disposición de la UIF o del SAT cuando lo requieran.</w:t>
      </w:r>
    </w:p>
    <w:p>
      <w:pPr>
        <w:spacing w:after="120"/>
      </w:pPr>
      <w:r>
        <w:rPr>
          <w:sz w:val="20"/>
          <w:szCs w:val="20"/>
        </w:rPr>
        <w:t xml:space="preserve">Plazo: el Manual debe existir a los noventa días naturales del alta y registro (Art. 37 RCG). Quien ya estaba registrado antes de la entrada en vigor del Acuerdo 115/2026 debe contar con él, incluida la metodología de evaluación de Riesgos, a partir del 1 de marzo de 2027 (Transitorio Tercero).</w:t>
      </w:r>
    </w:p>
    <w:p>
      <w:pPr>
        <w:spacing w:after="120"/>
      </w:pPr>
      <w:r>
        <w:rPr>
          <w:sz w:val="20"/>
          <w:szCs w:val="20"/>
        </w:rPr>
        <w:t xml:space="preserve">Correspondencia con la operación real: este Manual debe reflejar la forma en que la empresa efectivamente lleva a cabo sus actos u operaciones. Antes de su adopción, y cada vez que cambie la operación, el Representante Encargado de Cumplimiento llena y firma la Descripción Operativa del Anexo C; las políticas de este Manual se aplican conforme a esa descripción.</w:t>
      </w:r>
    </w:p>
    <w:p>
      <w:pPr>
        <w:spacing w:after="160" w:before="60"/>
      </w:pPr>
      <w:r>
        <w:rPr>
          <w:i/>
          <w:iCs/>
          <w:color w:val="666666"/>
          <w:sz w:val="19"/>
          <w:szCs w:val="19"/>
        </w:rPr>
        <w:t xml:space="preserve">Los parámetros y plazos marcados como "criterio del Programa" no están fijados por la regulación; son mínimos recomendados por Certus PLD que el sujeto obligado puede ajustar con base en los resultados de su metodología, siempre que lo documente en este Manual.</w:t>
      </w:r>
    </w:p>
    <w:p>
      <w:pPr>
        <w:keepNext/>
        <w:spacing w:after="80" w:before="160"/>
      </w:pPr>
      <w:r>
        <w:rPr>
          <w:b/>
          <w:bCs/>
          <w:color w:val="B08D57"/>
          <w:sz w:val="21"/>
          <w:szCs w:val="21"/>
        </w:rPr>
        <w:t xml:space="preserve">1.3 Grupo Empresarial (Art. 37 Bis 1 RCG)</w:t>
      </w:r>
    </w:p>
    <w:p>
      <w:pPr>
        <w:spacing w:after="120"/>
      </w:pPr>
      <w:r>
        <w:rPr>
          <w:sz w:val="20"/>
          <w:szCs w:val="20"/>
        </w:rPr>
        <w:t xml:space="preserve">[ ] La empresa no forma parte de un Grupo Empresarial.   [ ] La empresa forma parte del Grupo Empresarial [NOMBRE DEL GRUPO EMPRESARIAL], integrado por: [SOCIEDADES, SUCURSALES Y FILIALES].</w:t>
      </w:r>
    </w:p>
    <w:p>
      <w:pPr>
        <w:spacing w:after="120"/>
      </w:pPr>
      <w:r>
        <w:rPr>
          <w:sz w:val="20"/>
          <w:szCs w:val="20"/>
        </w:rPr>
        <w:t xml:space="preserve">Cuando forme parte de un Grupo Empresarial, se aplican políticas y mecanismos de cumplimiento centralizados para todas las sucursales y filiales de propiedad mayoritaria, incluidas las extranjeras, siempre que: (i) resulten aplicables a todos los integrantes; (ii) permitan compartir información para la identificación y mitigación de Riesgos; y (iii) garanticen que cada sucursal o filial cumpla en lo individual sus obligaciones conforme a la Ley. En consecuencia:</w:t>
      </w:r>
    </w:p>
    <w:p>
      <w:pPr>
        <w:pStyle w:val="ListParagraph"/>
        <w:numPr>
          <w:ilvl w:val="0"/>
          <w:numId w:val="1"/>
        </w:numPr>
        <w:spacing w:after="60"/>
      </w:pPr>
      <w:r>
        <w:rPr>
          <w:sz w:val="20"/>
          <w:szCs w:val="20"/>
        </w:rPr>
        <w:t xml:space="preserve">Cada sociedad que realice Actividades Vulnerables conserva su propia alta y registro, sus Avisos e Informes, su Representante Encargado de Cumplimiento y su responsabilidad individual ante la autoridad.</w:t>
      </w:r>
    </w:p>
    <w:p>
      <w:pPr>
        <w:pStyle w:val="ListParagraph"/>
        <w:numPr>
          <w:ilvl w:val="0"/>
          <w:numId w:val="1"/>
        </w:numPr>
        <w:spacing w:after="60"/>
      </w:pPr>
      <w:r>
        <w:rPr>
          <w:sz w:val="20"/>
          <w:szCs w:val="20"/>
        </w:rPr>
        <w:t xml:space="preserve">El intercambio de información y documentación de identificación entre integrantes del grupo se realiza conforme a las RCG (entre otros, Art. 35) y con las medidas de confidencialidad y protección de datos de este Manual.</w:t>
      </w:r>
    </w:p>
    <w:p>
      <w:pPr>
        <w:pStyle w:val="ListParagraph"/>
        <w:numPr>
          <w:ilvl w:val="0"/>
          <w:numId w:val="1"/>
        </w:numPr>
        <w:spacing w:after="60"/>
      </w:pPr>
      <w:r>
        <w:rPr>
          <w:sz w:val="20"/>
          <w:szCs w:val="20"/>
        </w:rPr>
        <w:t xml:space="preserve">Este Manual se adopta por cada integrante; puede remitir a un manual corporativo del grupo, siempre que la referencia sea identificable y el documento esté disponible para la autoridad (Art. 37, segundo párrafo, RCG).</w:t>
      </w:r>
    </w:p>
    <w:p>
      <w:pPr>
        <w:pStyle w:val="Heading2"/>
        <w:spacing w:after="120" w:before="320"/>
      </w:pPr>
      <w:r>
        <w:t xml:space="preserve">Capítulo 2. Objeto y alcance</w:t>
      </w:r>
    </w:p>
    <w:p>
      <w:pPr>
        <w:spacing w:after="120"/>
      </w:pPr>
      <w:r>
        <w:rPr>
          <w:sz w:val="20"/>
          <w:szCs w:val="20"/>
        </w:rPr>
        <w:t xml:space="preserve">Este Manual tiene por objeto establecer los criterios, medidas y procedimientos internos que la empresa adopta para dar cumplimiento a la Ley, su Reglamento y las Reglas de Carácter General vigentes, y para gestionar los Riesgos a los que está expuesta conforme a los resultados de la metodología de Enfoque Basado en Riesgos (EBR) del Documento D6 del Programa Certus PLD.</w:t>
      </w:r>
    </w:p>
    <w:p>
      <w:pPr>
        <w:spacing w:after="80" w:before="160"/>
      </w:pPr>
      <w:r>
        <w:rPr>
          <w:b/>
          <w:bCs/>
          <w:color w:val="B08D57"/>
          <w:sz w:val="21"/>
          <w:szCs w:val="21"/>
        </w:rPr>
        <w:t xml:space="preserve">2.1 Alcance</w:t>
      </w:r>
    </w:p>
    <w:p>
      <w:pPr>
        <w:pStyle w:val="ListParagraph"/>
        <w:numPr>
          <w:ilvl w:val="0"/>
          <w:numId w:val="1"/>
        </w:numPr>
        <w:spacing w:after="60"/>
      </w:pPr>
      <w:r>
        <w:rPr>
          <w:sz w:val="20"/>
          <w:szCs w:val="20"/>
        </w:rPr>
        <w:t xml:space="preserve">Órgano de administración (Consejo de Administración / Administrador Único)</w:t>
      </w:r>
    </w:p>
    <w:p>
      <w:pPr>
        <w:pStyle w:val="ListParagraph"/>
        <w:numPr>
          <w:ilvl w:val="0"/>
          <w:numId w:val="1"/>
        </w:numPr>
        <w:spacing w:after="60"/>
      </w:pPr>
      <w:r>
        <w:rPr>
          <w:sz w:val="20"/>
          <w:szCs w:val="20"/>
        </w:rPr>
        <w:t xml:space="preserve">Representante Encargado de Cumplimiento PLD/FT</w:t>
      </w:r>
    </w:p>
    <w:p>
      <w:pPr>
        <w:pStyle w:val="ListParagraph"/>
        <w:numPr>
          <w:ilvl w:val="0"/>
          <w:numId w:val="1"/>
        </w:numPr>
        <w:spacing w:after="60"/>
      </w:pPr>
      <w:r>
        <w:rPr>
          <w:sz w:val="20"/>
          <w:szCs w:val="20"/>
        </w:rPr>
        <w:t xml:space="preserve">Área de Ventas y Preventas</w:t>
      </w:r>
    </w:p>
    <w:p>
      <w:pPr>
        <w:pStyle w:val="ListParagraph"/>
        <w:numPr>
          <w:ilvl w:val="0"/>
          <w:numId w:val="1"/>
        </w:numPr>
        <w:spacing w:after="60"/>
      </w:pPr>
      <w:r>
        <w:rPr>
          <w:sz w:val="20"/>
          <w:szCs w:val="20"/>
        </w:rPr>
        <w:t xml:space="preserve">Área de Arrendamiento</w:t>
      </w:r>
    </w:p>
    <w:p>
      <w:pPr>
        <w:pStyle w:val="ListParagraph"/>
        <w:numPr>
          <w:ilvl w:val="0"/>
          <w:numId w:val="1"/>
        </w:numPr>
        <w:spacing w:after="60"/>
      </w:pPr>
      <w:r>
        <w:rPr>
          <w:sz w:val="20"/>
          <w:szCs w:val="20"/>
        </w:rPr>
        <w:t xml:space="preserve">Área de Desarrollo y Proyectos</w:t>
      </w:r>
    </w:p>
    <w:p>
      <w:pPr>
        <w:pStyle w:val="ListParagraph"/>
        <w:numPr>
          <w:ilvl w:val="0"/>
          <w:numId w:val="1"/>
        </w:numPr>
        <w:spacing w:after="60"/>
      </w:pPr>
      <w:r>
        <w:rPr>
          <w:sz w:val="20"/>
          <w:szCs w:val="20"/>
        </w:rPr>
        <w:t xml:space="preserve">Toda persona que en nombre de la empresa celebre contratos con Clientes o Usuarias, participe en su identificación, en el envío de Avisos o en labores de auditoría</w:t>
      </w:r>
    </w:p>
    <w:p>
      <w:pPr>
        <w:keepNext/>
        <w:spacing w:after="80" w:before="160"/>
      </w:pPr>
      <w:r>
        <w:rPr>
          <w:b/>
          <w:bCs/>
          <w:color w:val="B08D57"/>
          <w:sz w:val="21"/>
          <w:szCs w:val="21"/>
        </w:rPr>
        <w:t xml:space="preserve">2.2 Supuestos que la empresa no realiza (Art. 37 Bis 2 RCG)</w:t>
      </w:r>
    </w:p>
    <w:p>
      <w:pPr>
        <w:spacing w:after="120"/>
      </w:pPr>
      <w:r>
        <w:rPr>
          <w:sz w:val="20"/>
          <w:szCs w:val="20"/>
        </w:rPr>
        <w:t xml:space="preserve">La empresa hace constar que no realiza los siguientes actos u operaciones: [SUPUESTOS QUE LA EMPRESA NO REALIZA, O “NINGUNO”]. Para esos supuestos no se establecen políticas, criterios, medidas ni procedimientos en este Manual.</w:t>
      </w:r>
    </w:p>
    <w:p>
      <w:pPr>
        <w:spacing w:after="120"/>
      </w:pPr>
      <w:r>
        <w:rPr>
          <w:sz w:val="20"/>
          <w:szCs w:val="20"/>
        </w:rPr>
        <w:t xml:space="preserve">Pueden declararse en este apartado, entre otros: alguna de las fracciones V, V Bis o XV del Art. 17 de la Ley; la celebración de operaciones por medios electrónicos, ópticos o de cualquier otra tecnología (Art. 18 RCG); o las operaciones con Clientes o Usuarias no residentes en México. La exención deja de aplicar desde que se decida realizar el supuesto; antes de hacerlo, deben establecerse en este Manual las políticas respectivas y evaluarse el Riesgo conforme al apartado siguiente.</w:t>
      </w:r>
    </w:p>
    <w:p>
      <w:pPr>
        <w:keepNext/>
        <w:spacing w:after="80" w:before="160"/>
      </w:pPr>
      <w:r>
        <w:rPr>
          <w:b/>
          <w:bCs/>
          <w:color w:val="B08D57"/>
          <w:sz w:val="21"/>
          <w:szCs w:val="21"/>
        </w:rPr>
        <w:t xml:space="preserve">2.3 Nuevos productos, servicios, canales o tipos de clientes (Art. 10 Septies, tercer párrafo, RCG)</w:t>
      </w:r>
    </w:p>
    <w:p>
      <w:pPr>
        <w:spacing w:after="120"/>
      </w:pPr>
      <w:r>
        <w:rPr>
          <w:sz w:val="20"/>
          <w:szCs w:val="20"/>
        </w:rPr>
        <w:t xml:space="preserve">Antes de ofrecer nuevos medios, canales, modalidades, productos o servicios, o de dirigir su actividad a nuevos tipos de Clientes o Usuarias (por ejemplo, actos u operaciones a distancia, clientes extranjeros, o nuevas fracciones, incisos o líneas de servicio), la empresa: (i) evalúa por escrito los Riesgos asociados con los elementos de la sección de evaluación de Riesgos de este Manual; (ii) define los Mitigantes; (iii) actualiza este Manual y la Metodología EBR; y (iv) obtiene la aprobación del órgano de administración. La evaluación se conserva por diez años.</w:t>
      </w:r>
    </w:p>
    <w:p>
      <w:pPr>
        <w:keepNext/>
        <w:spacing w:after="80" w:before="160"/>
      </w:pPr>
      <w:r>
        <w:rPr>
          <w:b/>
          <w:bCs/>
          <w:color w:val="B08D57"/>
          <w:sz w:val="21"/>
          <w:szCs w:val="21"/>
        </w:rPr>
        <w:t xml:space="preserve">2.4 Actos u operaciones por medios electrónicos (Art. 18 RCG)</w:t>
      </w:r>
    </w:p>
    <w:p>
      <w:pPr>
        <w:spacing w:after="120"/>
      </w:pPr>
      <w:r>
        <w:rPr>
          <w:sz w:val="20"/>
          <w:szCs w:val="20"/>
        </w:rPr>
        <w:t xml:space="preserve">Si la empresa realiza actos u operaciones a través de medios electrónicos, ópticos o de cualquier otra tecnología, integra el expediente de identificación antes del acto; identifica al Cliente o Usuaria mediante la verificación de su identificación oficial y de su rostro, y la validación de sus datos con las fuentes oficiales disponibles; y aplica controles contra el uso indebido de esos medios (credenciales personales, bitácora de accesos y conservación de la evidencia de identificación en el expediente). Si no los realiza, lo hace constar como supuesto no realizado (Art. 37 Bis 2 RCG).</w:t>
      </w:r>
    </w:p>
    <w:p>
      <w:pPr>
        <w:pStyle w:val="Heading2"/>
        <w:spacing w:after="120" w:before="320"/>
      </w:pPr>
      <w:r>
        <w:t xml:space="preserve">Capítulo 3. Organización y responsabilidades</w:t>
      </w:r>
    </w:p>
    <w:p>
      <w:pPr>
        <w:spacing w:after="80" w:before="160"/>
      </w:pPr>
      <w:r>
        <w:rPr>
          <w:b/>
          <w:bCs/>
          <w:color w:val="B08D57"/>
          <w:sz w:val="21"/>
          <w:szCs w:val="21"/>
        </w:rPr>
        <w:t xml:space="preserve">3.1 Representante Encargado de Cumplimiento</w:t>
      </w:r>
    </w:p>
    <w:p>
      <w:pPr>
        <w:pStyle w:val="ListParagraph"/>
        <w:numPr>
          <w:ilvl w:val="0"/>
          <w:numId w:val="1"/>
        </w:numPr>
        <w:spacing w:after="60"/>
      </w:pPr>
      <w:r>
        <w:rPr>
          <w:sz w:val="20"/>
          <w:szCs w:val="20"/>
        </w:rPr>
        <w:t xml:space="preserve">Debe ser, en todo caso, una persona física; acepta su designación en el Portal con su RFC y e.firma (Art. 10 RCG) y recibe capacitación anual (Art. 20 de la Ley). Mientras no haya Representante o no acepte, el cumplimiento corresponde al órgano de administración (Art. 20, segundo párrafo).</w:t>
      </w:r>
    </w:p>
    <w:p>
      <w:pPr>
        <w:pStyle w:val="ListParagraph"/>
        <w:numPr>
          <w:ilvl w:val="0"/>
          <w:numId w:val="1"/>
        </w:numPr>
        <w:spacing w:after="60"/>
      </w:pPr>
      <w:r>
        <w:rPr>
          <w:sz w:val="20"/>
          <w:szCs w:val="20"/>
        </w:rPr>
        <w:t xml:space="preserve">Supervisar el cumplimiento de este Manual</w:t>
      </w:r>
    </w:p>
    <w:p>
      <w:pPr>
        <w:pStyle w:val="ListParagraph"/>
        <w:numPr>
          <w:ilvl w:val="0"/>
          <w:numId w:val="1"/>
        </w:numPr>
        <w:spacing w:after="60"/>
      </w:pPr>
      <w:r>
        <w:rPr>
          <w:sz w:val="20"/>
          <w:szCs w:val="20"/>
        </w:rPr>
        <w:t xml:space="preserve">Presentar los Avisos e Informes ante la UIF por conducto del SAT a través del Portal en Internet</w:t>
      </w:r>
    </w:p>
    <w:p>
      <w:pPr>
        <w:pStyle w:val="ListParagraph"/>
        <w:numPr>
          <w:ilvl w:val="0"/>
          <w:numId w:val="1"/>
        </w:numPr>
        <w:spacing w:after="60"/>
      </w:pPr>
      <w:r>
        <w:rPr>
          <w:sz w:val="20"/>
          <w:szCs w:val="20"/>
        </w:rPr>
        <w:t xml:space="preserve">Mantener actualizados los expedientes de identificación (KYC) de Clientes o Usuarias</w:t>
      </w:r>
    </w:p>
    <w:p>
      <w:pPr>
        <w:pStyle w:val="ListParagraph"/>
        <w:numPr>
          <w:ilvl w:val="0"/>
          <w:numId w:val="1"/>
        </w:numPr>
        <w:spacing w:after="60"/>
      </w:pPr>
      <w:r>
        <w:rPr>
          <w:sz w:val="20"/>
          <w:szCs w:val="20"/>
        </w:rPr>
        <w:t xml:space="preserve">Coordinar los programas de capacitación Certus PLD</w:t>
      </w:r>
    </w:p>
    <w:p>
      <w:pPr>
        <w:pStyle w:val="ListParagraph"/>
        <w:numPr>
          <w:ilvl w:val="0"/>
          <w:numId w:val="1"/>
        </w:numPr>
        <w:spacing w:after="60"/>
      </w:pPr>
      <w:r>
        <w:rPr>
          <w:sz w:val="20"/>
          <w:szCs w:val="20"/>
        </w:rPr>
        <w:t xml:space="preserve">Reportar al órgano de administración el estado del programa de cumplimiento</w:t>
      </w:r>
    </w:p>
    <w:p>
      <w:pPr>
        <w:keepNext/>
        <w:spacing w:after="80" w:before="160"/>
      </w:pPr>
      <w:r>
        <w:rPr>
          <w:b/>
          <w:bCs/>
          <w:color w:val="B08D57"/>
          <w:sz w:val="21"/>
          <w:szCs w:val="21"/>
        </w:rPr>
        <w:t xml:space="preserve">3.1.1 Atribuciones, recursos y suplencia (Art. 37 Bis, fr. X, RCG)</w:t>
      </w:r>
    </w:p>
    <w:p>
      <w:pPr>
        <w:pStyle w:val="ListParagraph"/>
        <w:numPr>
          <w:ilvl w:val="0"/>
          <w:numId w:val="1"/>
        </w:numPr>
        <w:spacing w:after="60"/>
      </w:pPr>
      <w:r>
        <w:rPr>
          <w:sz w:val="20"/>
          <w:szCs w:val="20"/>
        </w:rPr>
        <w:t xml:space="preserve">Atribución para detener o suspender la formalización de cualquier acto u operación mientras se resuelve una alerta, se completa el expediente o se obtiene la aprobación requerida.</w:t>
      </w:r>
    </w:p>
    <w:p>
      <w:pPr>
        <w:pStyle w:val="ListParagraph"/>
        <w:numPr>
          <w:ilvl w:val="0"/>
          <w:numId w:val="1"/>
        </w:numPr>
        <w:spacing w:after="60"/>
      </w:pPr>
      <w:r>
        <w:rPr>
          <w:sz w:val="20"/>
          <w:szCs w:val="20"/>
        </w:rPr>
        <w:t xml:space="preserve">Acceso irrestricto y oportuno a la información y documentación de Clientes o Usuarias, operaciones y áreas de la empresa.</w:t>
      </w:r>
    </w:p>
    <w:p>
      <w:pPr>
        <w:pStyle w:val="ListParagraph"/>
        <w:numPr>
          <w:ilvl w:val="0"/>
          <w:numId w:val="1"/>
        </w:numPr>
        <w:spacing w:after="60"/>
      </w:pPr>
      <w:r>
        <w:rPr>
          <w:sz w:val="20"/>
          <w:szCs w:val="20"/>
        </w:rPr>
        <w:t xml:space="preserve">Independencia de las áreas comerciales: reporta directamente al órgano de administración, y su evaluación y remuneración no dependen de metas de ventas (criterio del Programa).</w:t>
      </w:r>
    </w:p>
    <w:p>
      <w:pPr>
        <w:pStyle w:val="ListParagraph"/>
        <w:numPr>
          <w:ilvl w:val="0"/>
          <w:numId w:val="1"/>
        </w:numPr>
        <w:spacing w:after="60"/>
      </w:pPr>
      <w:r>
        <w:rPr>
          <w:sz w:val="20"/>
          <w:szCs w:val="20"/>
        </w:rPr>
        <w:t xml:space="preserve">Recursos asignados por el órgano de administración: [RECURSOS ASIGNADOS — tiempo dedicado, personal de apoyo, herramientas y presupuesto de capacitación y asesoría].</w:t>
      </w:r>
    </w:p>
    <w:p>
      <w:pPr>
        <w:pStyle w:val="ListParagraph"/>
        <w:numPr>
          <w:ilvl w:val="0"/>
          <w:numId w:val="1"/>
        </w:numPr>
        <w:spacing w:after="60"/>
      </w:pPr>
      <w:r>
        <w:rPr>
          <w:sz w:val="20"/>
          <w:szCs w:val="20"/>
        </w:rPr>
        <w:t xml:space="preserve">Suplencia: en ausencias temporales, [NOMBRE Y CARGO DEL SUPLENTE] auxilia en las funciones operativas, sin que ello sustituya la designación ante la autoridad; todo cambio de Representante se actualiza en el Portal y en el Anexo C.</w:t>
      </w:r>
    </w:p>
    <w:p>
      <w:pPr>
        <w:pStyle w:val="ListParagraph"/>
        <w:numPr>
          <w:ilvl w:val="0"/>
          <w:numId w:val="1"/>
        </w:numPr>
        <w:spacing w:after="60"/>
      </w:pPr>
      <w:r>
        <w:rPr>
          <w:sz w:val="20"/>
          <w:szCs w:val="20"/>
        </w:rPr>
        <w:t xml:space="preserve">Responsabilidad: responde ante el órgano de administración por la aplicación de este Manual; la responsabilidad ante la autoridad se rige por el Art. 20 de la Ley.</w:t>
      </w:r>
    </w:p>
    <w:p>
      <w:pPr>
        <w:spacing w:after="80" w:before="160"/>
      </w:pPr>
      <w:r>
        <w:rPr>
          <w:b/>
          <w:bCs/>
          <w:color w:val="B08D57"/>
          <w:sz w:val="21"/>
          <w:szCs w:val="21"/>
        </w:rPr>
        <w:t xml:space="preserve">3.2 Selección de personal</w:t>
      </w:r>
    </w:p>
    <w:p>
      <w:pPr>
        <w:spacing w:after="120"/>
      </w:pPr>
      <w:r>
        <w:rPr>
          <w:sz w:val="20"/>
          <w:szCs w:val="20"/>
        </w:rPr>
        <w:t xml:space="preserve">La empresa establecerá procedimientos de selección que garanticen que su personal cuenta con la calidad técnica, experiencia y honorabilidad necesarias (Art. 39 Bis 2 RCG). De cada funcionario o empleado que labore en áreas de atención al público, identificación de clientes, envío de Avisos o auditoría, se obtendrá una declaración firmada en la que conste, al menos, su historial laboral previo en sectores sujetos a la Ley y que no ha sido sentenciado por delitos patrimoniales ni inhabilitado para el comercio o el servicio público. Este requisito aplica a las contrataciones realizadas a partir del 1 de marzo de 2027.</w:t>
      </w:r>
    </w:p>
    <w:p>
      <w:pPr>
        <w:spacing w:after="160" w:before="60"/>
      </w:pPr>
      <w:r>
        <w:rPr>
          <w:i/>
          <w:iCs/>
          <w:color w:val="666666"/>
          <w:sz w:val="19"/>
          <w:szCs w:val="19"/>
        </w:rPr>
        <w:t xml:space="preserve">Ver Documento D11D — Declaración de Selección de Personal.</w:t>
      </w:r>
    </w:p>
    <w:p>
      <w:pPr>
        <w:spacing w:after="120"/>
      </w:pPr>
      <w:r>
        <w:rPr>
          <w:sz w:val="20"/>
          <w:szCs w:val="20"/>
        </w:rPr>
        <w:t xml:space="preserve">Si un funcionario o empleado deja de contar con calidad técnica u honorabilidad (por ejemplo, por sentencia por delito patrimonial o inhabilitación), se le retira de inmediato de las funciones de atención al público, identificación de clientes, envío de Avisos o administración de recursos; se documenta el hecho y se resuelve su situación conforme a la legislación laboral (Art. 39 Bis 2, último párrafo, RCG). Cada empleado actualiza su declaración cuando cambie su situación y, en todo caso, una vez al año (criterio del Programa).</w:t>
      </w:r>
    </w:p>
    <w:p>
      <w:pPr>
        <w:pStyle w:val="Heading2"/>
        <w:spacing w:after="120" w:before="320"/>
      </w:pPr>
      <w:r>
        <w:t xml:space="preserve">Capítulo 4. Identificación y conocimiento del cliente (KYC)</w:t>
      </w:r>
    </w:p>
    <w:p>
      <w:pPr>
        <w:spacing w:after="80" w:before="160"/>
      </w:pPr>
      <w:r>
        <w:rPr>
          <w:b/>
          <w:bCs/>
          <w:color w:val="B08D57"/>
          <w:sz w:val="21"/>
          <w:szCs w:val="21"/>
        </w:rPr>
        <w:t xml:space="preserve">4.1 Principio conozca a su cliente</w:t>
      </w:r>
    </w:p>
    <w:p>
      <w:pPr>
        <w:spacing w:after="120"/>
      </w:pPr>
      <w:r>
        <w:rPr>
          <w:sz w:val="20"/>
          <w:szCs w:val="20"/>
        </w:rPr>
        <w:t xml:space="preserve">Toda persona que celebre una operación con la empresa deberá ser identificada antes de la formalización de cualquier contrato. Se integra un expediente único de identificación conforme al Documento D7 del Programa Certus PLD.</w:t>
      </w:r>
    </w:p>
    <w:p>
      <w:pPr>
        <w:spacing w:after="80" w:before="160"/>
      </w:pPr>
      <w:r>
        <w:rPr>
          <w:b/>
          <w:bCs/>
          <w:color w:val="B08D57"/>
          <w:sz w:val="21"/>
          <w:szCs w:val="21"/>
        </w:rPr>
        <w:t xml:space="preserve">4.2 Umbrales de identificación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Fracción LFPIORPI</w:t>
            </w:r>
          </w:p>
        </w:tc>
        <w:tc>
          <w:tcPr>
            <w:tcW w:type="dxa" w:w="3200"/>
            <w:shd w:fill="1F3864" w:val="clear"/>
            <w:tcMar>
              <w:top w:type="dxa" w:w="70"/>
              <w:left w:type="dxa" w:w="100"/>
              <w:bottom w:type="dxa" w:w="70"/>
              <w:right w:type="dxa" w:w="100"/>
            </w:tcMar>
          </w:tcPr>
          <w:p>
            <w:r>
              <w:rPr>
                <w:b/>
                <w:bCs/>
                <w:color w:val="FFFFFF"/>
                <w:sz w:val="18"/>
                <w:szCs w:val="18"/>
              </w:rPr>
              <w:t xml:space="preserve">Actividad</w:t>
            </w:r>
          </w:p>
        </w:tc>
        <w:tc>
          <w:tcPr>
            <w:tcW w:type="dxa" w:w="2200"/>
            <w:shd w:fill="1F3864" w:val="clear"/>
            <w:tcMar>
              <w:top w:type="dxa" w:w="70"/>
              <w:left w:type="dxa" w:w="100"/>
              <w:bottom w:type="dxa" w:w="70"/>
              <w:right w:type="dxa" w:w="100"/>
            </w:tcMar>
          </w:tcPr>
          <w:p>
            <w:r>
              <w:rPr>
                <w:b/>
                <w:bCs/>
                <w:color w:val="FFFFFF"/>
                <w:sz w:val="18"/>
                <w:szCs w:val="18"/>
              </w:rPr>
              <w:t xml:space="preserve">Umbral de identificación</w:t>
            </w:r>
          </w:p>
        </w:tc>
        <w:tc>
          <w:tcPr>
            <w:tcW w:type="dxa" w:w="2200"/>
            <w:shd w:fill="1F3864" w:val="clear"/>
            <w:tcMar>
              <w:top w:type="dxa" w:w="70"/>
              <w:left w:type="dxa" w:w="100"/>
              <w:bottom w:type="dxa" w:w="70"/>
              <w:right w:type="dxa" w:w="100"/>
            </w:tcMar>
          </w:tcPr>
          <w:p>
            <w:r>
              <w:rPr>
                <w:b/>
                <w:bCs/>
                <w:color w:val="FFFFFF"/>
                <w:sz w:val="18"/>
                <w:szCs w:val="18"/>
              </w:rPr>
              <w:t xml:space="preserve">Umbral de Aviso al SAT</w:t>
            </w:r>
          </w:p>
        </w:tc>
      </w:tr>
      <w:tr>
        <w:tc>
          <w:tcPr>
            <w:tcW w:type="dxa" w:w="2200"/>
            <w:tcMar>
              <w:top w:type="dxa" w:w="70"/>
              <w:left w:type="dxa" w:w="100"/>
              <w:bottom w:type="dxa" w:w="70"/>
              <w:right w:type="dxa" w:w="100"/>
            </w:tcMar>
          </w:tcPr>
          <w:p>
            <w:r>
              <w:rPr>
                <w:b w:val="false"/>
                <w:bCs w:val="false"/>
                <w:sz w:val="18"/>
                <w:szCs w:val="18"/>
              </w:rPr>
              <w:t xml:space="preserve">V</w:t>
            </w:r>
          </w:p>
        </w:tc>
        <w:tc>
          <w:tcPr>
            <w:tcW w:type="dxa" w:w="3200"/>
            <w:tcMar>
              <w:top w:type="dxa" w:w="70"/>
              <w:left w:type="dxa" w:w="100"/>
              <w:bottom w:type="dxa" w:w="70"/>
              <w:right w:type="dxa" w:w="100"/>
            </w:tcMar>
          </w:tcPr>
          <w:p>
            <w:r>
              <w:rPr>
                <w:b w:val="false"/>
                <w:bCs w:val="false"/>
                <w:sz w:val="18"/>
                <w:szCs w:val="18"/>
              </w:rPr>
              <w:t xml:space="preserve">Compraventa / intermediación</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V Bis</w:t>
            </w:r>
          </w:p>
        </w:tc>
        <w:tc>
          <w:tcPr>
            <w:tcW w:type="dxa" w:w="3200"/>
            <w:tcMar>
              <w:top w:type="dxa" w:w="70"/>
              <w:left w:type="dxa" w:w="100"/>
              <w:bottom w:type="dxa" w:w="70"/>
              <w:right w:type="dxa" w:w="100"/>
            </w:tcMar>
          </w:tcPr>
          <w:p>
            <w:r>
              <w:rPr>
                <w:b w:val="false"/>
                <w:bCs w:val="false"/>
                <w:sz w:val="18"/>
                <w:szCs w:val="18"/>
              </w:rPr>
              <w:t xml:space="preserve">Desarrollo / Preventas</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XV</w:t>
            </w:r>
          </w:p>
        </w:tc>
        <w:tc>
          <w:tcPr>
            <w:tcW w:type="dxa" w:w="3200"/>
            <w:tcMar>
              <w:top w:type="dxa" w:w="70"/>
              <w:left w:type="dxa" w:w="100"/>
              <w:bottom w:type="dxa" w:w="70"/>
              <w:right w:type="dxa" w:w="100"/>
            </w:tcMar>
          </w:tcPr>
          <w:p>
            <w:r>
              <w:rPr>
                <w:b w:val="false"/>
                <w:bCs w:val="false"/>
                <w:sz w:val="18"/>
                <w:szCs w:val="18"/>
              </w:rPr>
              <w:t xml:space="preserve">Arrendamiento</w:t>
            </w:r>
          </w:p>
        </w:tc>
        <w:tc>
          <w:tcPr>
            <w:tcW w:type="dxa" w:w="2200"/>
            <w:tcMar>
              <w:top w:type="dxa" w:w="70"/>
              <w:left w:type="dxa" w:w="100"/>
              <w:bottom w:type="dxa" w:w="70"/>
              <w:right w:type="dxa" w:w="100"/>
            </w:tcMar>
          </w:tcPr>
          <w:p>
            <w:r>
              <w:rPr>
                <w:b w:val="false"/>
                <w:bCs w:val="false"/>
                <w:sz w:val="18"/>
                <w:szCs w:val="18"/>
              </w:rPr>
              <w:t xml:space="preserve">1,605 UMA (~$188,283 MXN/mes)</w:t>
            </w:r>
          </w:p>
        </w:tc>
        <w:tc>
          <w:tcPr>
            <w:tcW w:type="dxa" w:w="2200"/>
            <w:tcMar>
              <w:top w:type="dxa" w:w="70"/>
              <w:left w:type="dxa" w:w="100"/>
              <w:bottom w:type="dxa" w:w="70"/>
              <w:right w:type="dxa" w:w="100"/>
            </w:tcMar>
          </w:tcPr>
          <w:p>
            <w:r>
              <w:rPr>
                <w:b w:val="false"/>
                <w:bCs w:val="false"/>
                <w:sz w:val="18"/>
                <w:szCs w:val="18"/>
              </w:rPr>
              <w:t xml:space="preserve">3,210 UMA (~$376,565 MXN/mes)</w:t>
            </w:r>
          </w:p>
        </w:tc>
      </w:tr>
    </w:tbl>
    <w:p>
      <w:pPr>
        <w:spacing w:after="80" w:before="160"/>
      </w:pPr>
      <w:r>
        <w:rPr>
          <w:b/>
          <w:bCs/>
          <w:color w:val="B08D57"/>
          <w:sz w:val="21"/>
          <w:szCs w:val="21"/>
        </w:rPr>
        <w:t xml:space="preserve">4.3 Política de conocimiento del cliente</w:t>
      </w:r>
    </w:p>
    <w:p>
      <w:pPr>
        <w:spacing w:after="120"/>
      </w:pPr>
      <w:r>
        <w:rPr>
          <w:sz w:val="20"/>
          <w:szCs w:val="20"/>
        </w:rPr>
        <w:t xml:space="preserve">Conforme al Capítulo III Ter de las RCG, la empresa mantiene una política de conocimiento de Clientes o Usuarias que incluye los criterios para determinar y actualizar su Perfil Transaccional (Capítulo 9), los criterios para establecer y modificar su Grado de Riesgo (Capítulo 5), y los procedimientos de seguimiento y monitoreo de sus actos u operaciones.</w:t>
      </w:r>
    </w:p>
    <w:p>
      <w:pPr>
        <w:pStyle w:val="Heading2"/>
        <w:spacing w:after="120" w:before="320"/>
      </w:pPr>
      <w:r>
        <w:t xml:space="preserve">Capítulo 5. Enfoque Basado en Riesgo (EBR) y clasificación del Grado de Riesgo</w:t>
      </w:r>
    </w:p>
    <w:p>
      <w:pPr>
        <w:spacing w:after="120"/>
      </w:pPr>
      <w:r>
        <w:rPr>
          <w:sz w:val="20"/>
          <w:szCs w:val="20"/>
        </w:rPr>
        <w:t xml:space="preserve">La empresa diseña e implementa una metodología de evaluación de Riesgos conforme al Capítulo II Quáter de las RCG (Art. 10 Septies), documentada en el Documento D6 del Programa Certus PLD. La metodología identifica indicadores de Riesgo por tipo de acto u operación, tipo de cliente, país o área geográfica y canal de envío o distribución; asigna valores a cada indicador; identifica los Mitigantes ya implementados; e incluye indicadores específicos vinculados a los delitos previstos en los artículos 139 Quáter y 400 Bis del Código Penal Federal.</w:t>
      </w:r>
    </w:p>
    <w:p>
      <w:pPr>
        <w:spacing w:after="120"/>
      </w:pPr>
      <w:r>
        <w:rPr>
          <w:sz w:val="20"/>
          <w:szCs w:val="20"/>
        </w:rPr>
        <w:t xml:space="preserve">Con base en dicha metodología, la empresa clasifica a cada Cliente o Usuaria en un Grado de Riesgo individual de, cuando menos, tres niveles: bajo, medio y alto. El Grado de Riesgo inicial se determina con la información proporcionada por el cliente al momento del alta, y se reevalúa cuando menos cada seis meses (Art. 23 Bis 1 RCG). La metodología en su conjunto se revisa y actualiza cuando se detecten nuevos Riesgos, cuando la UIF actualice la Evaluación Nacional de Riesgos, o cuando transcurran doce meses desde la última actualización, lo que ocurra primero (Art. 10 Septies 3 RCG).</w:t>
      </w:r>
    </w:p>
    <w:p>
      <w:pPr>
        <w:spacing w:after="160" w:before="60"/>
      </w:pPr>
      <w:r>
        <w:rPr>
          <w:i/>
          <w:iCs/>
          <w:color w:val="666666"/>
          <w:sz w:val="19"/>
          <w:szCs w:val="19"/>
        </w:rPr>
        <w:t xml:space="preserve">Ver Documento D6 — Metodología EBR. La evaluación con enfoque de Riesgo debe estar a disposición de la autoridad a partir del 1 de marzo de 2027 (Transitorio Segundo del Acuerdo 115/2026).</w:t>
      </w:r>
    </w:p>
    <w:p>
      <w:pPr>
        <w:keepNext/>
        <w:spacing w:after="80" w:before="160"/>
      </w:pPr>
      <w:r>
        <w:rPr>
          <w:b/>
          <w:bCs/>
          <w:color w:val="B08D57"/>
          <w:sz w:val="21"/>
          <w:szCs w:val="21"/>
        </w:rPr>
        <w:t xml:space="preserve">5.1 Evaluación de los Riesgos de la empresa como sujeto obligado (Arts. 10 Septies a 10 Septies 3 RCG)</w:t>
      </w:r>
    </w:p>
    <w:p>
      <w:pPr>
        <w:spacing w:after="120"/>
      </w:pPr>
      <w:r>
        <w:rPr>
          <w:sz w:val="20"/>
          <w:szCs w:val="20"/>
        </w:rPr>
        <w:t xml:space="preserve">Además de clasificar a cada Cliente o Usuaria, la empresa evalúa, al menos una vez al año, los Riesgos a los que se expone por los actos u operaciones que realiza, sus Clientes o Usuarias, las áreas geográficas y los canales de envío o distribución. El resultado es el nivel de Riesgo de la empresa (bajo, medio o alto), que se utiliza para fijar su tolerancia al Riesgo y para determinar quién puede emitir el dictamen de auditoría (Arts. 44 y 45 RCG; Capítulo 19). Esta sección forma parte de la metodología de evaluación de Riesgos, junto con el Documento D6.</w:t>
      </w:r>
    </w:p>
    <w:p>
      <w:pPr>
        <w:pStyle w:val="ListParagraph"/>
        <w:numPr>
          <w:ilvl w:val="0"/>
          <w:numId w:val="1"/>
        </w:numPr>
        <w:spacing w:after="60"/>
      </w:pPr>
      <w:r>
        <w:rPr>
          <w:b/>
          <w:bCs/>
          <w:sz w:val="20"/>
          <w:szCs w:val="20"/>
        </w:rPr>
        <w:t xml:space="preserve">Datos.</w:t>
      </w:r>
      <w:r>
        <w:rPr>
          <w:sz w:val="20"/>
          <w:szCs w:val="20"/>
        </w:rPr>
        <w:t xml:space="preserve"> Total de Clientes o Usuarias, número de actos u operaciones y monto operado de los últimos doce meses — o proyectados, si aún no hay historial, con actualización al cumplir doce meses —, desglosados por tipo de acto, tipo de cliente (persona física, moral o fideicomiso; nacional o extranjero; PEP), entidad federativa, forma de pago y canal. Los datos deben ser consistentes con los mecanismos automatizados (Art. 10 Septies 2 RCG).</w:t>
      </w:r>
    </w:p>
    <w:p>
      <w:pPr>
        <w:pStyle w:val="ListParagraph"/>
        <w:numPr>
          <w:ilvl w:val="0"/>
          <w:numId w:val="1"/>
        </w:numPr>
        <w:spacing w:after="60"/>
      </w:pPr>
      <w:r>
        <w:rPr>
          <w:b/>
          <w:bCs/>
          <w:sz w:val="20"/>
          <w:szCs w:val="20"/>
        </w:rPr>
        <w:t xml:space="preserve">Riesgo inherente.</w:t>
      </w:r>
      <w:r>
        <w:rPr>
          <w:sz w:val="20"/>
          <w:szCs w:val="20"/>
        </w:rPr>
        <w:t xml:space="preserve"> Cada uno de los cuatro elementos se califica de 1 (bajo) a 3 (alto) con los indicadores de la Metodología EBR aplicados a la cartera en su conjunto, considerando la Evaluación Nacional de Riesgos y sus actualizaciones, así como indicadores específicos de financiamiento al terrorismo y de lavado de dinero (Arts. 139 Quáter y 400 Bis del Código Penal Federal).</w:t>
      </w:r>
    </w:p>
    <w:p>
      <w:pPr>
        <w:pStyle w:val="ListParagraph"/>
        <w:numPr>
          <w:ilvl w:val="0"/>
          <w:numId w:val="1"/>
        </w:numPr>
        <w:spacing w:after="60"/>
      </w:pPr>
      <w:r>
        <w:rPr>
          <w:b/>
          <w:bCs/>
          <w:sz w:val="20"/>
          <w:szCs w:val="20"/>
        </w:rPr>
        <w:t xml:space="preserve">Mitigantes.</w:t>
      </w:r>
      <w:r>
        <w:rPr>
          <w:sz w:val="20"/>
          <w:szCs w:val="20"/>
        </w:rPr>
        <w:t xml:space="preserve"> Se califica la eficacia de los Mitigantes de cada elemento con base en la evidencia de su aplicación (supervisión interna y auditoría): efectivo (reduce un nivel), parcialmente efectivo (reduce medio nivel) o no efectivo (no reduce). El Riesgo residual de un elemento nunca es menor que 1.</w:t>
      </w:r>
    </w:p>
    <w:p>
      <w:pPr>
        <w:pStyle w:val="ListParagraph"/>
        <w:numPr>
          <w:ilvl w:val="0"/>
          <w:numId w:val="1"/>
        </w:numPr>
        <w:spacing w:after="60"/>
      </w:pPr>
      <w:r>
        <w:rPr>
          <w:b/>
          <w:bCs/>
          <w:sz w:val="20"/>
          <w:szCs w:val="20"/>
        </w:rPr>
        <w:t xml:space="preserve">Nivel de Riesgo de la empresa.</w:t>
      </w:r>
      <w:r>
        <w:rPr>
          <w:sz w:val="20"/>
          <w:szCs w:val="20"/>
        </w:rPr>
        <w:t xml:space="preserve"> Promedio de los Riesgos residuales con las ponderaciones del Documento D6 (A ×1.5; B ×1.25; C ×1.0; D ×1.0): de 1.00 a 1.66, bajo; de 1.67 a 2.33, medio; más de 2.33, alto (criterio del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000"/>
        <w:gridCol w:w="1700"/>
        <w:gridCol w:w="1800"/>
        <w:gridCol w:w="1700"/>
      </w:tblGrid>
      <w:tr>
        <w:trPr>
          <w:tblHeader/>
        </w:trPr>
        <w:tc>
          <w:tcPr>
            <w:tcW w:type="dxa" w:w="3300"/>
            <w:shd w:fill="1F3864" w:val="clear"/>
            <w:tcMar>
              <w:top w:type="dxa" w:w="60"/>
              <w:left w:type="dxa" w:w="100"/>
              <w:bottom w:type="dxa" w:w="60"/>
              <w:right w:type="dxa" w:w="100"/>
            </w:tcMar>
          </w:tcPr>
          <w:p>
            <w:pPr>
              <w:spacing w:after="0"/>
            </w:pPr>
            <w:r>
              <w:rPr>
                <w:b/>
                <w:bCs/>
                <w:color w:val="FFFFFF"/>
                <w:sz w:val="18"/>
                <w:szCs w:val="18"/>
              </w:rPr>
              <w:t xml:space="preserve">Elemento de Riesgo</w:t>
            </w:r>
          </w:p>
        </w:tc>
        <w:tc>
          <w:tcPr>
            <w:tcW w:type="dxa" w:w="1000"/>
            <w:shd w:fill="1F3864" w:val="clear"/>
            <w:tcMar>
              <w:top w:type="dxa" w:w="60"/>
              <w:left w:type="dxa" w:w="100"/>
              <w:bottom w:type="dxa" w:w="60"/>
              <w:right w:type="dxa" w:w="100"/>
            </w:tcMar>
          </w:tcPr>
          <w:p>
            <w:pPr>
              <w:spacing w:after="0"/>
            </w:pPr>
            <w:r>
              <w:rPr>
                <w:b/>
                <w:bCs/>
                <w:color w:val="FFFFFF"/>
                <w:sz w:val="18"/>
                <w:szCs w:val="18"/>
              </w:rPr>
              <w:t xml:space="preserve">Peso</w:t>
            </w:r>
          </w:p>
        </w:tc>
        <w:tc>
          <w:tcPr>
            <w:tcW w:type="dxa" w:w="1700"/>
            <w:shd w:fill="1F3864" w:val="clear"/>
            <w:tcMar>
              <w:top w:type="dxa" w:w="60"/>
              <w:left w:type="dxa" w:w="100"/>
              <w:bottom w:type="dxa" w:w="60"/>
              <w:right w:type="dxa" w:w="100"/>
            </w:tcMar>
          </w:tcPr>
          <w:p>
            <w:pPr>
              <w:spacing w:after="0"/>
            </w:pPr>
            <w:r>
              <w:rPr>
                <w:b/>
                <w:bCs/>
                <w:color w:val="FFFFFF"/>
                <w:sz w:val="18"/>
                <w:szCs w:val="18"/>
              </w:rPr>
              <w:t xml:space="preserve">Riesgo inherente (1–3)</w:t>
            </w:r>
          </w:p>
        </w:tc>
        <w:tc>
          <w:tcPr>
            <w:tcW w:type="dxa" w:w="1800"/>
            <w:shd w:fill="1F3864" w:val="clear"/>
            <w:tcMar>
              <w:top w:type="dxa" w:w="60"/>
              <w:left w:type="dxa" w:w="100"/>
              <w:bottom w:type="dxa" w:w="60"/>
              <w:right w:type="dxa" w:w="100"/>
            </w:tcMar>
          </w:tcPr>
          <w:p>
            <w:pPr>
              <w:spacing w:after="0"/>
            </w:pPr>
            <w:r>
              <w:rPr>
                <w:b/>
                <w:bCs/>
                <w:color w:val="FFFFFF"/>
                <w:sz w:val="18"/>
                <w:szCs w:val="18"/>
              </w:rPr>
              <w:t xml:space="preserve">Eficacia de Mitigantes</w:t>
            </w:r>
          </w:p>
        </w:tc>
        <w:tc>
          <w:tcPr>
            <w:tcW w:type="dxa" w:w="1700"/>
            <w:shd w:fill="1F3864" w:val="clear"/>
            <w:tcMar>
              <w:top w:type="dxa" w:w="60"/>
              <w:left w:type="dxa" w:w="100"/>
              <w:bottom w:type="dxa" w:w="60"/>
              <w:right w:type="dxa" w:w="100"/>
            </w:tcMar>
          </w:tcPr>
          <w:p>
            <w:pPr>
              <w:spacing w:after="0"/>
            </w:pPr>
            <w:r>
              <w:rPr>
                <w:b/>
                <w:bCs/>
                <w:color w:val="FFFFFF"/>
                <w:sz w:val="18"/>
                <w:szCs w:val="18"/>
              </w:rPr>
              <w:t xml:space="preserve">Riesgo residual (1–3)</w:t>
            </w:r>
          </w:p>
        </w:tc>
      </w:tr>
      <w:tr>
        <w:trPr>
          <w:cantSplit/>
        </w:trPr>
        <w:tc>
          <w:tcPr>
            <w:tcW w:type="dxa" w:w="3300"/>
            <w:tcMar>
              <w:top w:type="dxa" w:w="60"/>
              <w:left w:type="dxa" w:w="100"/>
              <w:bottom w:type="dxa" w:w="60"/>
              <w:right w:type="dxa" w:w="100"/>
            </w:tcMar>
          </w:tcPr>
          <w:p>
            <w:pPr>
              <w:spacing w:after="0"/>
            </w:pPr>
            <w:r>
              <w:rPr>
                <w:sz w:val="18"/>
                <w:szCs w:val="18"/>
              </w:rPr>
              <w:t xml:space="preserve">A. Actos u operaciones</w:t>
            </w:r>
          </w:p>
        </w:tc>
        <w:tc>
          <w:tcPr>
            <w:tcW w:type="dxa" w:w="1000"/>
            <w:tcMar>
              <w:top w:type="dxa" w:w="60"/>
              <w:left w:type="dxa" w:w="100"/>
              <w:bottom w:type="dxa" w:w="60"/>
              <w:right w:type="dxa" w:w="100"/>
            </w:tcMar>
          </w:tcPr>
          <w:p>
            <w:pPr>
              <w:spacing w:after="0"/>
            </w:pPr>
            <w:r>
              <w:rPr>
                <w:sz w:val="18"/>
                <w:szCs w:val="18"/>
              </w:rPr>
              <w:t xml:space="preserve">×1.5</w:t>
            </w:r>
          </w:p>
        </w:tc>
        <w:tc>
          <w:tcPr>
            <w:tcW w:type="dxa" w:w="1700"/>
            <w:tcMar>
              <w:top w:type="dxa" w:w="60"/>
              <w:left w:type="dxa" w:w="100"/>
              <w:bottom w:type="dxa" w:w="60"/>
              <w:right w:type="dxa" w:w="100"/>
            </w:tcMar>
          </w:tcPr>
          <w:p>
            <w:pPr>
              <w:spacing w:after="0"/>
            </w:pPr>
            <w:r>
              <w:rPr>
                <w:sz w:val="18"/>
                <w:szCs w:val="18"/>
              </w:rPr>
              <w:t xml:space="preserve">[ ]</w:t>
            </w:r>
          </w:p>
        </w:tc>
        <w:tc>
          <w:tcPr>
            <w:tcW w:type="dxa" w:w="1800"/>
            <w:tcMar>
              <w:top w:type="dxa" w:w="60"/>
              <w:left w:type="dxa" w:w="100"/>
              <w:bottom w:type="dxa" w:w="60"/>
              <w:right w:type="dxa" w:w="100"/>
            </w:tcMar>
          </w:tcPr>
          <w:p>
            <w:pPr>
              <w:spacing w:after="0"/>
            </w:pPr>
            <w:r>
              <w:rPr>
                <w:sz w:val="18"/>
                <w:szCs w:val="18"/>
              </w:rPr>
              <w:t xml:space="preserve">[ ]</w:t>
            </w:r>
          </w:p>
        </w:tc>
        <w:tc>
          <w:tcPr>
            <w:tcW w:type="dxa" w:w="1700"/>
            <w:tcMar>
              <w:top w:type="dxa" w:w="60"/>
              <w:left w:type="dxa" w:w="100"/>
              <w:bottom w:type="dxa" w:w="60"/>
              <w:right w:type="dxa" w:w="100"/>
            </w:tcMar>
          </w:tcPr>
          <w:p>
            <w:pPr>
              <w:spacing w:after="0"/>
            </w:pPr>
            <w:r>
              <w:rPr>
                <w:sz w:val="18"/>
                <w:szCs w:val="18"/>
              </w:rPr>
              <w:t xml:space="preserve">[ ]</w:t>
            </w:r>
          </w:p>
        </w:tc>
      </w:tr>
      <w:tr>
        <w:trPr>
          <w:cantSplit/>
        </w:trPr>
        <w:tc>
          <w:tcPr>
            <w:tcW w:type="dxa" w:w="3300"/>
            <w:tcMar>
              <w:top w:type="dxa" w:w="60"/>
              <w:left w:type="dxa" w:w="100"/>
              <w:bottom w:type="dxa" w:w="60"/>
              <w:right w:type="dxa" w:w="100"/>
            </w:tcMar>
          </w:tcPr>
          <w:p>
            <w:pPr>
              <w:spacing w:after="0"/>
            </w:pPr>
            <w:r>
              <w:rPr>
                <w:sz w:val="18"/>
                <w:szCs w:val="18"/>
              </w:rPr>
              <w:t xml:space="preserve">B. Tipo de Clientes o Usuarias</w:t>
            </w:r>
          </w:p>
        </w:tc>
        <w:tc>
          <w:tcPr>
            <w:tcW w:type="dxa" w:w="1000"/>
            <w:tcMar>
              <w:top w:type="dxa" w:w="60"/>
              <w:left w:type="dxa" w:w="100"/>
              <w:bottom w:type="dxa" w:w="60"/>
              <w:right w:type="dxa" w:w="100"/>
            </w:tcMar>
          </w:tcPr>
          <w:p>
            <w:pPr>
              <w:spacing w:after="0"/>
            </w:pPr>
            <w:r>
              <w:rPr>
                <w:sz w:val="18"/>
                <w:szCs w:val="18"/>
              </w:rPr>
              <w:t xml:space="preserve">×1.25</w:t>
            </w:r>
          </w:p>
        </w:tc>
        <w:tc>
          <w:tcPr>
            <w:tcW w:type="dxa" w:w="1700"/>
            <w:tcMar>
              <w:top w:type="dxa" w:w="60"/>
              <w:left w:type="dxa" w:w="100"/>
              <w:bottom w:type="dxa" w:w="60"/>
              <w:right w:type="dxa" w:w="100"/>
            </w:tcMar>
          </w:tcPr>
          <w:p>
            <w:pPr>
              <w:spacing w:after="0"/>
            </w:pPr>
            <w:r>
              <w:rPr>
                <w:sz w:val="18"/>
                <w:szCs w:val="18"/>
              </w:rPr>
              <w:t xml:space="preserve">[ ]</w:t>
            </w:r>
          </w:p>
        </w:tc>
        <w:tc>
          <w:tcPr>
            <w:tcW w:type="dxa" w:w="1800"/>
            <w:tcMar>
              <w:top w:type="dxa" w:w="60"/>
              <w:left w:type="dxa" w:w="100"/>
              <w:bottom w:type="dxa" w:w="60"/>
              <w:right w:type="dxa" w:w="100"/>
            </w:tcMar>
          </w:tcPr>
          <w:p>
            <w:pPr>
              <w:spacing w:after="0"/>
            </w:pPr>
            <w:r>
              <w:rPr>
                <w:sz w:val="18"/>
                <w:szCs w:val="18"/>
              </w:rPr>
              <w:t xml:space="preserve">[ ]</w:t>
            </w:r>
          </w:p>
        </w:tc>
        <w:tc>
          <w:tcPr>
            <w:tcW w:type="dxa" w:w="1700"/>
            <w:tcMar>
              <w:top w:type="dxa" w:w="60"/>
              <w:left w:type="dxa" w:w="100"/>
              <w:bottom w:type="dxa" w:w="60"/>
              <w:right w:type="dxa" w:w="100"/>
            </w:tcMar>
          </w:tcPr>
          <w:p>
            <w:pPr>
              <w:spacing w:after="0"/>
            </w:pPr>
            <w:r>
              <w:rPr>
                <w:sz w:val="18"/>
                <w:szCs w:val="18"/>
              </w:rPr>
              <w:t xml:space="preserve">[ ]</w:t>
            </w:r>
          </w:p>
        </w:tc>
      </w:tr>
      <w:tr>
        <w:trPr>
          <w:cantSplit/>
        </w:trPr>
        <w:tc>
          <w:tcPr>
            <w:tcW w:type="dxa" w:w="3300"/>
            <w:tcMar>
              <w:top w:type="dxa" w:w="60"/>
              <w:left w:type="dxa" w:w="100"/>
              <w:bottom w:type="dxa" w:w="60"/>
              <w:right w:type="dxa" w:w="100"/>
            </w:tcMar>
          </w:tcPr>
          <w:p>
            <w:pPr>
              <w:spacing w:after="0"/>
            </w:pPr>
            <w:r>
              <w:rPr>
                <w:sz w:val="18"/>
                <w:szCs w:val="18"/>
              </w:rPr>
              <w:t xml:space="preserve">C. Países y áreas geográficas</w:t>
            </w:r>
          </w:p>
        </w:tc>
        <w:tc>
          <w:tcPr>
            <w:tcW w:type="dxa" w:w="1000"/>
            <w:tcMar>
              <w:top w:type="dxa" w:w="60"/>
              <w:left w:type="dxa" w:w="100"/>
              <w:bottom w:type="dxa" w:w="60"/>
              <w:right w:type="dxa" w:w="100"/>
            </w:tcMar>
          </w:tcPr>
          <w:p>
            <w:pPr>
              <w:spacing w:after="0"/>
            </w:pPr>
            <w:r>
              <w:rPr>
                <w:sz w:val="18"/>
                <w:szCs w:val="18"/>
              </w:rPr>
              <w:t xml:space="preserve">×1.0</w:t>
            </w:r>
          </w:p>
        </w:tc>
        <w:tc>
          <w:tcPr>
            <w:tcW w:type="dxa" w:w="1700"/>
            <w:tcMar>
              <w:top w:type="dxa" w:w="60"/>
              <w:left w:type="dxa" w:w="100"/>
              <w:bottom w:type="dxa" w:w="60"/>
              <w:right w:type="dxa" w:w="100"/>
            </w:tcMar>
          </w:tcPr>
          <w:p>
            <w:pPr>
              <w:spacing w:after="0"/>
            </w:pPr>
            <w:r>
              <w:rPr>
                <w:sz w:val="18"/>
                <w:szCs w:val="18"/>
              </w:rPr>
              <w:t xml:space="preserve">[ ]</w:t>
            </w:r>
          </w:p>
        </w:tc>
        <w:tc>
          <w:tcPr>
            <w:tcW w:type="dxa" w:w="1800"/>
            <w:tcMar>
              <w:top w:type="dxa" w:w="60"/>
              <w:left w:type="dxa" w:w="100"/>
              <w:bottom w:type="dxa" w:w="60"/>
              <w:right w:type="dxa" w:w="100"/>
            </w:tcMar>
          </w:tcPr>
          <w:p>
            <w:pPr>
              <w:spacing w:after="0"/>
            </w:pPr>
            <w:r>
              <w:rPr>
                <w:sz w:val="18"/>
                <w:szCs w:val="18"/>
              </w:rPr>
              <w:t xml:space="preserve">[ ]</w:t>
            </w:r>
          </w:p>
        </w:tc>
        <w:tc>
          <w:tcPr>
            <w:tcW w:type="dxa" w:w="1700"/>
            <w:tcMar>
              <w:top w:type="dxa" w:w="60"/>
              <w:left w:type="dxa" w:w="100"/>
              <w:bottom w:type="dxa" w:w="60"/>
              <w:right w:type="dxa" w:w="100"/>
            </w:tcMar>
          </w:tcPr>
          <w:p>
            <w:pPr>
              <w:spacing w:after="0"/>
            </w:pPr>
            <w:r>
              <w:rPr>
                <w:sz w:val="18"/>
                <w:szCs w:val="18"/>
              </w:rPr>
              <w:t xml:space="preserve">[ ]</w:t>
            </w:r>
          </w:p>
        </w:tc>
      </w:tr>
      <w:tr>
        <w:trPr>
          <w:cantSplit/>
        </w:trPr>
        <w:tc>
          <w:tcPr>
            <w:tcW w:type="dxa" w:w="3300"/>
            <w:tcMar>
              <w:top w:type="dxa" w:w="60"/>
              <w:left w:type="dxa" w:w="100"/>
              <w:bottom w:type="dxa" w:w="60"/>
              <w:right w:type="dxa" w:w="100"/>
            </w:tcMar>
          </w:tcPr>
          <w:p>
            <w:pPr>
              <w:spacing w:after="0"/>
            </w:pPr>
            <w:r>
              <w:rPr>
                <w:sz w:val="18"/>
                <w:szCs w:val="18"/>
              </w:rPr>
              <w:t xml:space="preserve">D. Transacciones y canales de envío o distribución</w:t>
            </w:r>
          </w:p>
        </w:tc>
        <w:tc>
          <w:tcPr>
            <w:tcW w:type="dxa" w:w="1000"/>
            <w:tcMar>
              <w:top w:type="dxa" w:w="60"/>
              <w:left w:type="dxa" w:w="100"/>
              <w:bottom w:type="dxa" w:w="60"/>
              <w:right w:type="dxa" w:w="100"/>
            </w:tcMar>
          </w:tcPr>
          <w:p>
            <w:pPr>
              <w:spacing w:after="0"/>
            </w:pPr>
            <w:r>
              <w:rPr>
                <w:sz w:val="18"/>
                <w:szCs w:val="18"/>
              </w:rPr>
              <w:t xml:space="preserve">×1.0</w:t>
            </w:r>
          </w:p>
        </w:tc>
        <w:tc>
          <w:tcPr>
            <w:tcW w:type="dxa" w:w="1700"/>
            <w:tcMar>
              <w:top w:type="dxa" w:w="60"/>
              <w:left w:type="dxa" w:w="100"/>
              <w:bottom w:type="dxa" w:w="60"/>
              <w:right w:type="dxa" w:w="100"/>
            </w:tcMar>
          </w:tcPr>
          <w:p>
            <w:pPr>
              <w:spacing w:after="0"/>
            </w:pPr>
            <w:r>
              <w:rPr>
                <w:sz w:val="18"/>
                <w:szCs w:val="18"/>
              </w:rPr>
              <w:t xml:space="preserve">[ ]</w:t>
            </w:r>
          </w:p>
        </w:tc>
        <w:tc>
          <w:tcPr>
            <w:tcW w:type="dxa" w:w="1800"/>
            <w:tcMar>
              <w:top w:type="dxa" w:w="60"/>
              <w:left w:type="dxa" w:w="100"/>
              <w:bottom w:type="dxa" w:w="60"/>
              <w:right w:type="dxa" w:w="100"/>
            </w:tcMar>
          </w:tcPr>
          <w:p>
            <w:pPr>
              <w:spacing w:after="0"/>
            </w:pPr>
            <w:r>
              <w:rPr>
                <w:sz w:val="18"/>
                <w:szCs w:val="18"/>
              </w:rPr>
              <w:t xml:space="preserve">[ ]</w:t>
            </w:r>
          </w:p>
        </w:tc>
        <w:tc>
          <w:tcPr>
            <w:tcW w:type="dxa" w:w="1700"/>
            <w:tcMar>
              <w:top w:type="dxa" w:w="60"/>
              <w:left w:type="dxa" w:w="100"/>
              <w:bottom w:type="dxa" w:w="60"/>
              <w:right w:type="dxa" w:w="100"/>
            </w:tcMar>
          </w:tcPr>
          <w:p>
            <w:pPr>
              <w:spacing w:after="0"/>
            </w:pPr>
            <w:r>
              <w:rPr>
                <w:sz w:val="18"/>
                <w:szCs w:val="18"/>
              </w:rPr>
              <w:t xml:space="preserve">[ ]</w:t>
            </w:r>
          </w:p>
        </w:tc>
      </w:tr>
      <w:tr>
        <w:trPr>
          <w:cantSplit/>
        </w:trPr>
        <w:tc>
          <w:tcPr>
            <w:tcW w:type="dxa" w:w="3300"/>
            <w:tcMar>
              <w:top w:type="dxa" w:w="60"/>
              <w:left w:type="dxa" w:w="100"/>
              <w:bottom w:type="dxa" w:w="60"/>
              <w:right w:type="dxa" w:w="100"/>
            </w:tcMar>
          </w:tcPr>
          <w:p>
            <w:pPr>
              <w:spacing w:after="0"/>
            </w:pPr>
            <w:r>
              <w:rPr>
                <w:sz w:val="18"/>
                <w:szCs w:val="18"/>
              </w:rPr>
              <w:t xml:space="preserve"/>
            </w:r>
            <w:r>
              <w:rPr>
                <w:b/>
                <w:bCs/>
                <w:sz w:val="18"/>
                <w:szCs w:val="18"/>
              </w:rPr>
              <w:t xml:space="preserve">Nivel de Riesgo de la empresa</w:t>
            </w:r>
          </w:p>
        </w:tc>
        <w:tc>
          <w:tcPr>
            <w:tcW w:type="dxa" w:w="1000"/>
            <w:tcMar>
              <w:top w:type="dxa" w:w="60"/>
              <w:left w:type="dxa" w:w="100"/>
              <w:bottom w:type="dxa" w:w="60"/>
              <w:right w:type="dxa" w:w="100"/>
            </w:tcMar>
          </w:tcPr>
          <w:p>
            <w:pPr>
              <w:spacing w:after="0"/>
            </w:pPr>
            <w:r>
              <w:rPr>
                <w:sz w:val="18"/>
                <w:szCs w:val="18"/>
              </w:rPr>
              <w:t xml:space="preserve"/>
            </w:r>
          </w:p>
        </w:tc>
        <w:tc>
          <w:tcPr>
            <w:tcW w:type="dxa" w:w="1700"/>
            <w:tcMar>
              <w:top w:type="dxa" w:w="60"/>
              <w:left w:type="dxa" w:w="100"/>
              <w:bottom w:type="dxa" w:w="60"/>
              <w:right w:type="dxa" w:w="100"/>
            </w:tcMar>
          </w:tcPr>
          <w:p>
            <w:pPr>
              <w:spacing w:after="0"/>
            </w:pPr>
            <w:r>
              <w:rPr>
                <w:sz w:val="18"/>
                <w:szCs w:val="18"/>
              </w:rPr>
              <w:t xml:space="preserve"/>
            </w:r>
          </w:p>
        </w:tc>
        <w:tc>
          <w:tcPr>
            <w:tcW w:type="dxa" w:w="1800"/>
            <w:tcMar>
              <w:top w:type="dxa" w:w="60"/>
              <w:left w:type="dxa" w:w="100"/>
              <w:bottom w:type="dxa" w:w="60"/>
              <w:right w:type="dxa" w:w="100"/>
            </w:tcMar>
          </w:tcPr>
          <w:p>
            <w:pPr>
              <w:spacing w:after="0"/>
            </w:pPr>
            <w:r>
              <w:rPr>
                <w:sz w:val="18"/>
                <w:szCs w:val="18"/>
              </w:rPr>
              <w:t xml:space="preserve"/>
            </w:r>
          </w:p>
        </w:tc>
        <w:tc>
          <w:tcPr>
            <w:tcW w:type="dxa" w:w="1700"/>
            <w:tcMar>
              <w:top w:type="dxa" w:w="60"/>
              <w:left w:type="dxa" w:w="100"/>
              <w:bottom w:type="dxa" w:w="60"/>
              <w:right w:type="dxa" w:w="100"/>
            </w:tcMar>
          </w:tcPr>
          <w:p>
            <w:pPr>
              <w:spacing w:after="0"/>
            </w:pPr>
            <w:r>
              <w:rPr>
                <w:sz w:val="18"/>
                <w:szCs w:val="18"/>
              </w:rPr>
              <w:t xml:space="preserve">[ ] Bajo  [ ] Medio  [ ] Alto</w:t>
            </w:r>
          </w:p>
        </w:tc>
      </w:tr>
    </w:tbl>
    <w:p>
      <w:pPr>
        <w:spacing w:after="80"/>
      </w:pPr>
    </w:p>
    <w:p>
      <w:pPr>
        <w:spacing w:after="120"/>
      </w:pPr>
      <w:r>
        <w:rPr>
          <w:sz w:val="20"/>
          <w:szCs w:val="20"/>
        </w:rPr>
        <w:t xml:space="preserve">La evaluación consta por escrito, la firma el órgano de administración, se conserva por diez años y está a disposición de la autoridad a partir del 1 de marzo de 2027, con la información del año inmediato anterior (Transitorio Segundo). Se actualiza cada doce meses, cuando se detecten Riesgos nuevos o mayores o cuando se actualice la Evaluación Nacional de Riesgos (Art. 10 Septies 3); si revela Riesgos mayores o nuevos, los Mitigantes se modifican en un plazo no mayor a doce meses, indicando el año y mes de los resultados que motivaron el cambio (Art. 10 Septies 2).</w:t>
      </w:r>
    </w:p>
    <w:p>
      <w:pPr>
        <w:pStyle w:val="Heading2"/>
        <w:spacing w:after="120" w:before="320"/>
      </w:pPr>
      <w:r>
        <w:t xml:space="preserve">Capítulo 6. Medidas de debida diligencia según el Grado de Riesgo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Grado de Riesgo</w:t>
            </w:r>
          </w:p>
        </w:tc>
        <w:tc>
          <w:tcPr>
            <w:tcW w:type="dxa" w:w="7400"/>
            <w:shd w:fill="1F3864" w:val="clear"/>
            <w:tcMar>
              <w:top w:type="dxa" w:w="70"/>
              <w:left w:type="dxa" w:w="100"/>
              <w:bottom w:type="dxa" w:w="70"/>
              <w:right w:type="dxa" w:w="100"/>
            </w:tcMar>
          </w:tcPr>
          <w:p>
            <w:r>
              <w:rPr>
                <w:b/>
                <w:bCs/>
                <w:color w:val="FFFFFF"/>
                <w:sz w:val="18"/>
                <w:szCs w:val="18"/>
              </w:rPr>
              <w:t xml:space="preserve">Medidas aplicables</w:t>
            </w:r>
          </w:p>
        </w:tc>
      </w:tr>
      <w:tr>
        <w:tc>
          <w:tcPr>
            <w:tcW w:type="dxa" w:w="2200"/>
            <w:tcMar>
              <w:top w:type="dxa" w:w="70"/>
              <w:left w:type="dxa" w:w="100"/>
              <w:bottom w:type="dxa" w:w="70"/>
              <w:right w:type="dxa" w:w="100"/>
            </w:tcMar>
          </w:tcPr>
          <w:p>
            <w:r>
              <w:rPr>
                <w:b w:val="false"/>
                <w:bCs w:val="false"/>
                <w:sz w:val="18"/>
                <w:szCs w:val="18"/>
              </w:rPr>
              <w:t xml:space="preserve">Riesgo bajo</w:t>
            </w:r>
          </w:p>
        </w:tc>
        <w:tc>
          <w:tcPr>
            <w:tcW w:type="dxa" w:w="7400"/>
            <w:tcMar>
              <w:top w:type="dxa" w:w="70"/>
              <w:left w:type="dxa" w:w="100"/>
              <w:bottom w:type="dxa" w:w="70"/>
              <w:right w:type="dxa" w:w="100"/>
            </w:tcMar>
          </w:tcPr>
          <w:p>
            <w:r>
              <w:rPr>
                <w:b w:val="false"/>
                <w:bCs w:val="false"/>
                <w:sz w:val="18"/>
                <w:szCs w:val="18"/>
              </w:rPr>
              <w:t xml:space="preserve">Medidas simplificadas (Art. 17 RCG): expediente de identificación integrado únicamente con los datos mínimos señalados en los Anexos correspondientes, conforme a los criterios de la sección 6.1 de este Manual.</w:t>
            </w:r>
          </w:p>
        </w:tc>
      </w:tr>
      <w:tr>
        <w:tc>
          <w:tcPr>
            <w:tcW w:type="dxa" w:w="2200"/>
            <w:tcMar>
              <w:top w:type="dxa" w:w="70"/>
              <w:left w:type="dxa" w:w="100"/>
              <w:bottom w:type="dxa" w:w="70"/>
              <w:right w:type="dxa" w:w="100"/>
            </w:tcMar>
          </w:tcPr>
          <w:p>
            <w:r>
              <w:rPr>
                <w:b w:val="false"/>
                <w:bCs w:val="false"/>
                <w:sz w:val="18"/>
                <w:szCs w:val="18"/>
              </w:rPr>
              <w:t xml:space="preserve">Riesgo medio</w:t>
            </w:r>
          </w:p>
        </w:tc>
        <w:tc>
          <w:tcPr>
            <w:tcW w:type="dxa" w:w="7400"/>
            <w:tcMar>
              <w:top w:type="dxa" w:w="70"/>
              <w:left w:type="dxa" w:w="100"/>
              <w:bottom w:type="dxa" w:w="70"/>
              <w:right w:type="dxa" w:w="100"/>
            </w:tcMar>
          </w:tcPr>
          <w:p>
            <w:r>
              <w:rPr>
                <w:b w:val="false"/>
                <w:bCs w:val="false"/>
                <w:sz w:val="18"/>
                <w:szCs w:val="18"/>
              </w:rPr>
              <w:t xml:space="preserve">Expediente de identificación completo conforme al Art. 12 de las RCG (Art. 17 Bis RCG).</w:t>
            </w:r>
          </w:p>
        </w:tc>
      </w:tr>
      <w:tr>
        <w:tc>
          <w:tcPr>
            <w:tcW w:type="dxa" w:w="2200"/>
            <w:tcMar>
              <w:top w:type="dxa" w:w="70"/>
              <w:left w:type="dxa" w:w="100"/>
              <w:bottom w:type="dxa" w:w="70"/>
              <w:right w:type="dxa" w:w="100"/>
            </w:tcMar>
          </w:tcPr>
          <w:p>
            <w:r>
              <w:rPr>
                <w:b w:val="false"/>
                <w:bCs w:val="false"/>
                <w:sz w:val="18"/>
                <w:szCs w:val="18"/>
              </w:rPr>
              <w:t xml:space="preserve">Riesgo alto</w:t>
            </w:r>
          </w:p>
        </w:tc>
        <w:tc>
          <w:tcPr>
            <w:tcW w:type="dxa" w:w="7400"/>
            <w:tcMar>
              <w:top w:type="dxa" w:w="70"/>
              <w:left w:type="dxa" w:w="100"/>
              <w:bottom w:type="dxa" w:w="70"/>
              <w:right w:type="dxa" w:w="100"/>
            </w:tcMar>
          </w:tcPr>
          <w:p>
            <w:r>
              <w:rPr>
                <w:b w:val="false"/>
                <w:bCs w:val="false"/>
                <w:sz w:val="18"/>
                <w:szCs w:val="18"/>
              </w:rPr>
              <w:t xml:space="preserve">Debida diligencia reforzada (Art. 23 Ter 3 y 23 Ter 4 RCG): se requiere mayor información sobre el origen y destino de los recursos, se aplica un cuestionario de identificación reforzada, y se realiza una revisión y monitoreo más estricto del comportamiento transaccional del cliente.</w:t>
            </w:r>
          </w:p>
        </w:tc>
      </w:tr>
    </w:tbl>
    <w:p>
      <w:pPr>
        <w:spacing w:after="160" w:before="60"/>
      </w:pPr>
      <w:r>
        <w:rPr>
          <w:i/>
          <w:iCs/>
          <w:color w:val="666666"/>
          <w:sz w:val="19"/>
          <w:szCs w:val="19"/>
        </w:rPr>
        <w:t xml:space="preserve">Ver Cuestionario de Identificación Reforzada (Anexo B de este Manual) para clientes de Riesgo alto.</w:t>
      </w:r>
    </w:p>
    <w:p>
      <w:pPr>
        <w:keepNext/>
        <w:spacing w:after="80" w:before="160"/>
      </w:pPr>
      <w:r>
        <w:rPr>
          <w:b/>
          <w:bCs/>
          <w:color w:val="B08D57"/>
          <w:sz w:val="21"/>
          <w:szCs w:val="21"/>
        </w:rPr>
        <w:t xml:space="preserve">6.1 Criterios para clasificar a un Cliente o Usuaria como de Riesgo bajo (Art. 17 RCG)</w:t>
      </w:r>
    </w:p>
    <w:p>
      <w:pPr>
        <w:spacing w:after="120"/>
      </w:pPr>
      <w:r>
        <w:rPr>
          <w:sz w:val="20"/>
          <w:szCs w:val="20"/>
        </w:rPr>
        <w:t xml:space="preserve">La empresa aplica medidas simplificadas únicamente al Cliente o Usuaria que cumpla todos los criterios siguientes:</w:t>
      </w:r>
    </w:p>
    <w:p>
      <w:pPr>
        <w:pStyle w:val="ListParagraph"/>
        <w:numPr>
          <w:ilvl w:val="0"/>
          <w:numId w:val="1"/>
        </w:numPr>
        <w:spacing w:after="60"/>
      </w:pPr>
      <w:r>
        <w:rPr>
          <w:sz w:val="20"/>
          <w:szCs w:val="20"/>
        </w:rPr>
        <w:t xml:space="preserve">Es persona física de nacionalidad mexicana o residente en México, o persona moral mexicana con estructura accionaria simple (sin más de un nivel de personas morales entre ella y su Beneficiario Controlador), con Beneficiario Controlador identificado.</w:t>
      </w:r>
    </w:p>
    <w:p>
      <w:pPr>
        <w:pStyle w:val="ListParagraph"/>
        <w:numPr>
          <w:ilvl w:val="0"/>
          <w:numId w:val="1"/>
        </w:numPr>
        <w:spacing w:after="60"/>
      </w:pPr>
      <w:r>
        <w:rPr>
          <w:sz w:val="20"/>
          <w:szCs w:val="20"/>
        </w:rPr>
        <w:t xml:space="preserve">No es Persona Políticamente Expuesta ni se asimila a ella, y no aparece en las listas a que se refiere el Capítulo 15.</w:t>
      </w:r>
    </w:p>
    <w:p>
      <w:pPr>
        <w:pStyle w:val="ListParagraph"/>
        <w:numPr>
          <w:ilvl w:val="0"/>
          <w:numId w:val="1"/>
        </w:numPr>
        <w:spacing w:after="60"/>
      </w:pPr>
      <w:r>
        <w:rPr>
          <w:sz w:val="20"/>
          <w:szCs w:val="20"/>
        </w:rPr>
        <w:t xml:space="preserve">Los recursos provienen de cuentas en Entidades Financieras a nombre del propio Cliente o Usuaria, o de un crédito otorgado por una Entidad Financiera, y no se pretende pagar en efectivo.</w:t>
      </w:r>
    </w:p>
    <w:p>
      <w:pPr>
        <w:pStyle w:val="ListParagraph"/>
        <w:numPr>
          <w:ilvl w:val="0"/>
          <w:numId w:val="1"/>
        </w:numPr>
        <w:spacing w:after="60"/>
      </w:pPr>
      <w:r>
        <w:rPr>
          <w:sz w:val="20"/>
          <w:szCs w:val="20"/>
        </w:rPr>
        <w:t xml:space="preserve">Cuando el acto u operación tenga umbral de Aviso, su monto es inferior a dicho umbral; y no existe ninguna señal de alerta.</w:t>
      </w:r>
    </w:p>
    <w:p>
      <w:pPr>
        <w:pStyle w:val="ListParagraph"/>
        <w:numPr>
          <w:ilvl w:val="0"/>
          <w:numId w:val="1"/>
        </w:numPr>
        <w:spacing w:after="60"/>
      </w:pPr>
      <w:r>
        <w:rPr>
          <w:sz w:val="20"/>
          <w:szCs w:val="20"/>
        </w:rPr>
        <w:t xml:space="preserve">Ni el domicilio ni el origen o destino de los recursos se vinculan con países o jurisdicciones de Riesgo.</w:t>
      </w:r>
    </w:p>
    <w:p>
      <w:pPr>
        <w:pStyle w:val="ListParagraph"/>
        <w:numPr>
          <w:ilvl w:val="0"/>
          <w:numId w:val="1"/>
        </w:numPr>
        <w:spacing w:after="60"/>
      </w:pPr>
      <w:r>
        <w:rPr>
          <w:sz w:val="20"/>
          <w:szCs w:val="20"/>
        </w:rPr>
        <w:t xml:space="preserve">Obtiene una puntuación ponderada de 9.00 a 15.00 en la Metodología EBR (Documento D6).</w:t>
      </w:r>
    </w:p>
    <w:p>
      <w:pPr>
        <w:spacing w:after="120"/>
      </w:pPr>
      <w:r>
        <w:rPr>
          <w:sz w:val="20"/>
          <w:szCs w:val="20"/>
        </w:rPr>
        <w:t xml:space="preserve">Si el Cliente o Usuaria deja de cumplir cualquiera de estos criterios, se integra su expediente completo (Art. 17, último párrafo, y Art. 17 Bis RCG) y se reclasifica. Las medidas simplificadas no eximen de identificar al Cliente o Usuaria ni de consultar las listas y la calidad de PEP.</w:t>
      </w:r>
    </w:p>
    <w:p>
      <w:pPr>
        <w:keepNext/>
        <w:spacing w:after="80" w:before="160"/>
      </w:pPr>
      <w:r>
        <w:rPr>
          <w:b/>
          <w:bCs/>
          <w:color w:val="B08D57"/>
          <w:sz w:val="21"/>
          <w:szCs w:val="21"/>
        </w:rPr>
        <w:t xml:space="preserve">6.2 Medidas reforzadas para Clientes o Usuarias de Riesgo alto (Arts. 23 Ter 3, 23 Ter 4 y 23 Ter 5 RCG)</w:t>
      </w:r>
    </w:p>
    <w:p>
      <w:pPr>
        <w:pStyle w:val="ListParagraph"/>
        <w:numPr>
          <w:ilvl w:val="0"/>
          <w:numId w:val="1"/>
        </w:numPr>
        <w:spacing w:after="60"/>
      </w:pPr>
      <w:r>
        <w:rPr>
          <w:sz w:val="20"/>
          <w:szCs w:val="20"/>
        </w:rPr>
        <w:t xml:space="preserve">Se aplica el Cuestionario de Identificación Reforzada del Anexo B de este Manual al alta y en cada reevaluación, para obtener mayor información sobre la actividad preponderante del cliente y el origen y destino de los recursos. Puede aplicarse a distancia por medios digitales, siempre con la Firma Electrónica de quien lo suscribe (Art. 23 Ter 3).</w:t>
      </w:r>
    </w:p>
    <w:p>
      <w:pPr>
        <w:pStyle w:val="ListParagraph"/>
        <w:numPr>
          <w:ilvl w:val="0"/>
          <w:numId w:val="1"/>
        </w:numPr>
        <w:spacing w:after="60"/>
      </w:pPr>
      <w:r>
        <w:rPr>
          <w:sz w:val="20"/>
          <w:szCs w:val="20"/>
        </w:rPr>
        <w:t xml:space="preserve">Personas físicas: se adoptan medidas reforzadas sobre el origen y destino de los recursos y se recaban, del cónyuge y de los dependientes económicos, nombre completo, fecha de nacimiento, nacionalidad y CURP o RFC, así como la denominación, RFC y porcentaje de participación de las sociedades y asociaciones con las que el cliente mantenga vínculos patrimoniales (Art. 23 Ter 4, fr. I).</w:t>
      </w:r>
    </w:p>
    <w:p>
      <w:pPr>
        <w:pStyle w:val="ListParagraph"/>
        <w:numPr>
          <w:ilvl w:val="0"/>
          <w:numId w:val="1"/>
        </w:numPr>
        <w:spacing w:after="60"/>
      </w:pPr>
      <w:r>
        <w:rPr>
          <w:sz w:val="20"/>
          <w:szCs w:val="20"/>
        </w:rPr>
        <w:t xml:space="preserve">Personas morales: se obtiene mayor información de sus principales accionistas o socios y se confirma en los registros electrónicos de la Secretaría de Economía (Art. 23 Ter 4, fr. II).</w:t>
      </w:r>
    </w:p>
    <w:p>
      <w:pPr>
        <w:pStyle w:val="ListParagraph"/>
        <w:numPr>
          <w:ilvl w:val="0"/>
          <w:numId w:val="1"/>
        </w:numPr>
        <w:spacing w:after="60"/>
      </w:pPr>
      <w:r>
        <w:rPr>
          <w:sz w:val="20"/>
          <w:szCs w:val="20"/>
        </w:rPr>
        <w:t xml:space="preserve">Personas Políticamente Expuestas extranjeras: además, se recaba la documentación del Capítulo III de las RCG respecto del cónyuge y los dependientes económicos (Art. 23 Ter 4, fr. III).</w:t>
      </w:r>
    </w:p>
    <w:p>
      <w:pPr>
        <w:pStyle w:val="ListParagraph"/>
        <w:numPr>
          <w:ilvl w:val="0"/>
          <w:numId w:val="1"/>
        </w:numPr>
        <w:spacing w:after="60"/>
      </w:pPr>
      <w:r>
        <w:rPr>
          <w:sz w:val="20"/>
          <w:szCs w:val="20"/>
        </w:rPr>
        <w:t xml:space="preserve">Cuando el cliente sea PEP y además de Riesgo alto, el acto u operación requiere la aprobación previa y por escrito de [CARGO DEL DIRECTIVO QUE APRUEBA OPERACIONES CON PEP DE RIESGO ALTO] (Art. 23 Ter 5, primer párrafo, RCG), que considera el cuestionario reforzado, el origen de los recursos y el monitoreo propuesto.</w:t>
      </w:r>
    </w:p>
    <w:p>
      <w:pPr>
        <w:pStyle w:val="ListParagraph"/>
        <w:numPr>
          <w:ilvl w:val="0"/>
          <w:numId w:val="1"/>
        </w:numPr>
        <w:spacing w:after="60"/>
      </w:pPr>
      <w:r>
        <w:rPr>
          <w:sz w:val="20"/>
          <w:szCs w:val="20"/>
        </w:rPr>
        <w:t xml:space="preserve">El comportamiento transaccional del cliente se revisa con mayor rigor: cada pago o aportación se compara con su Perfil Transaccional y toda desviación se analiza conforme a los parámetros de alertas de este Manual.</w:t>
      </w:r>
    </w:p>
    <w:p>
      <w:pPr>
        <w:pStyle w:val="Heading2"/>
        <w:spacing w:after="120" w:before="320"/>
      </w:pPr>
      <w:r>
        <w:t xml:space="preserve">Capítulo 7. Identificación del Beneficiario Controlador</w:t>
      </w:r>
    </w:p>
    <w:p>
      <w:pPr>
        <w:spacing w:after="120"/>
      </w:pPr>
      <w:r>
        <w:rPr>
          <w:sz w:val="20"/>
          <w:szCs w:val="20"/>
        </w:rPr>
        <w:t xml:space="preserve">Para clientes que sean personas morales, la empresa identifica al Beneficiario Controlador siguiendo el siguiente orden de prelación establecido en el Art. 23 Quinquies de las RCG:</w:t>
      </w:r>
    </w:p>
    <w:p>
      <w:pPr>
        <w:pStyle w:val="ListParagraph"/>
        <w:numPr>
          <w:ilvl w:val="0"/>
          <w:numId w:val="1"/>
        </w:numPr>
        <w:spacing w:after="60"/>
      </w:pPr>
      <w:r>
        <w:rPr>
          <w:sz w:val="20"/>
          <w:szCs w:val="20"/>
        </w:rPr>
        <w:t xml:space="preserve">1. Persona física o grupo de personas físicas que, directa o indirectamente, sea titular del 25% o más del capital social del cliente.</w:t>
      </w:r>
    </w:p>
    <w:p>
      <w:pPr>
        <w:pStyle w:val="ListParagraph"/>
        <w:numPr>
          <w:ilvl w:val="0"/>
          <w:numId w:val="1"/>
        </w:numPr>
        <w:spacing w:after="60"/>
      </w:pPr>
      <w:r>
        <w:rPr>
          <w:sz w:val="20"/>
          <w:szCs w:val="20"/>
        </w:rPr>
        <w:t xml:space="preserve">2. Si no es identificable por el criterio anterior, persona física o grupo que ejerza el control efectivo del cliente por otros medios, relacionada con la estrategia, toma de decisiones y dirección de sus principales políticas.</w:t>
      </w:r>
    </w:p>
    <w:p>
      <w:pPr>
        <w:pStyle w:val="ListParagraph"/>
        <w:numPr>
          <w:ilvl w:val="0"/>
          <w:numId w:val="1"/>
        </w:numPr>
        <w:spacing w:after="60"/>
      </w:pPr>
      <w:r>
        <w:rPr>
          <w:sz w:val="20"/>
          <w:szCs w:val="20"/>
        </w:rPr>
        <w:t xml:space="preserve">3. Si no es identificable por los criterios anteriores, la persona física que ocupe el cargo de funcionario administrativo de mayor grado o de alta dirección.</w:t>
      </w:r>
    </w:p>
    <w:p>
      <w:pPr>
        <w:spacing w:after="120"/>
      </w:pPr>
      <w:r>
        <w:rPr>
          <w:sz w:val="20"/>
          <w:szCs w:val="20"/>
        </w:rPr>
        <w:t xml:space="preserve">Cuando el cliente sea un fideicomiso, se considera Beneficiario Controlador a la persona física que, en última instancia, ejerza el control efectivo sobre el fideicomiso (fiduciario, fideicomitentes, fideicomisarios, comité técnico u órgano equivalente), conforme al Art. 23 Quinquies 1 RCG. No se requiere identificación del Beneficiario Controlador cuando el cliente cotice en bolsa de valores reconocida, o pertenezca a las personas morales listadas en los Anexos 4 Bis, 6 Bis, 7-A o 7 Bis-A de las RCG (Art. 23 Quinquies 2).</w:t>
      </w:r>
    </w:p>
    <w:p>
      <w:pPr>
        <w:spacing w:after="160" w:before="60"/>
      </w:pPr>
      <w:r>
        <w:rPr>
          <w:i/>
          <w:iCs/>
          <w:color w:val="666666"/>
          <w:sz w:val="19"/>
          <w:szCs w:val="19"/>
        </w:rPr>
        <w:t xml:space="preserve">Este procedimiento debe ser congruente con el Documento D14 — Manual del Beneficiario Controlador (CFF y LFPIORPI). El expediente respectivo se integra conforme al Documento D7.</w:t>
      </w:r>
    </w:p>
    <w:p>
      <w:pPr>
        <w:pStyle w:val="Heading2"/>
        <w:spacing w:after="120" w:before="320"/>
      </w:pPr>
      <w:r>
        <w:t xml:space="preserve">Capítulo 8. Personas Políticamente Expuestas (PEP's)</w:t>
      </w:r>
    </w:p>
    <w:p>
      <w:pPr>
        <w:spacing w:after="120"/>
      </w:pPr>
      <w:r>
        <w:rPr>
          <w:sz w:val="20"/>
          <w:szCs w:val="20"/>
        </w:rPr>
        <w:t xml:space="preserve">Se considera Persona Políticamente Expuesta (PEP) a quien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que la persona haya dejado el cargo.</w:t>
      </w:r>
    </w:p>
    <w:p>
      <w:pPr>
        <w:spacing w:after="120"/>
      </w:pPr>
      <w:r>
        <w:rPr>
          <w:sz w:val="20"/>
          <w:szCs w:val="20"/>
        </w:rPr>
        <w:t xml:space="preserve">Para la consulta de PEP nacionales, la empresa utilizará la aplicación Consulta PEP 2.0 de la UIF, disponible a partir de los 9 meses siguientes a la entrada en vigor del Acuerdo 115/2026 (Art. 23 Quáter 1 RCG). Cuando un cliente sea clasificado simultáneamente como PEP y de Grado de Riesgo alto, la operación requerirá la aprobación de un directivo o su equivalente antes de llevarse a cabo (Art. 23 Ter 5 RCG); si quien realiza la Actividad Vulnerable es persona física, dicha aprobación se sustituye por una constancia firmada que documente los motivos considerados.</w:t>
      </w:r>
    </w:p>
    <w:p>
      <w:pPr>
        <w:spacing w:after="160" w:before="60"/>
      </w:pPr>
      <w:r>
        <w:rPr>
          <w:i/>
          <w:iCs/>
          <w:color w:val="666666"/>
          <w:sz w:val="19"/>
          <w:szCs w:val="19"/>
        </w:rPr>
        <w:t xml:space="preserve">Ver Documento D8 — Política de PEP's.</w:t>
      </w:r>
    </w:p>
    <w:p>
      <w:pPr>
        <w:keepNext/>
        <w:spacing w:after="80" w:before="160"/>
      </w:pPr>
      <w:r>
        <w:rPr>
          <w:b/>
          <w:bCs/>
          <w:color w:val="B08D57"/>
          <w:sz w:val="21"/>
          <w:szCs w:val="21"/>
        </w:rPr>
        <w:t xml:space="preserve">8.1 Fuentes, validación de coincidencias y monitoreo de PEP (Art. 37 Bis, fr. IV, RCG)</w:t>
      </w:r>
    </w:p>
    <w:p>
      <w:pPr>
        <w:pStyle w:val="ListParagraph"/>
        <w:numPr>
          <w:ilvl w:val="0"/>
          <w:numId w:val="1"/>
        </w:numPr>
        <w:spacing w:after="60"/>
      </w:pPr>
      <w:r>
        <w:rPr>
          <w:sz w:val="20"/>
          <w:szCs w:val="20"/>
        </w:rPr>
        <w:t xml:space="preserve">La consulta de PEP nacionales se realiza en la aplicación Consulta PEP 2.0 de la UIF, con la e.firma del alta y registro, en cuanto esté habilitada para quienes realizan Actividades Vulnerables (nueve meses después de la entrada en vigor del Acuerdo 115/2026, Transitorio Décimo). Mientras tanto, se recaba la declaración del cliente sobre su calidad de PEP y se consultan fuentes públicas oficiales.</w:t>
      </w:r>
    </w:p>
    <w:p>
      <w:pPr>
        <w:pStyle w:val="ListParagraph"/>
        <w:numPr>
          <w:ilvl w:val="0"/>
          <w:numId w:val="1"/>
        </w:numPr>
        <w:spacing w:after="60"/>
      </w:pPr>
      <w:r>
        <w:rPr>
          <w:sz w:val="20"/>
          <w:szCs w:val="20"/>
        </w:rPr>
        <w:t xml:space="preserve">Las PEP extranjeras se identifican mediante la declaración del cliente y fuentes públicas o listas de organismos internacionales reconocidos; se clasifican siempre como Riesgo alto (Art. 23 Bis 4 RCG).</w:t>
      </w:r>
    </w:p>
    <w:p>
      <w:pPr>
        <w:pStyle w:val="ListParagraph"/>
        <w:numPr>
          <w:ilvl w:val="0"/>
          <w:numId w:val="1"/>
        </w:numPr>
        <w:spacing w:after="60"/>
      </w:pPr>
      <w:r>
        <w:rPr>
          <w:sz w:val="20"/>
          <w:szCs w:val="20"/>
        </w:rPr>
        <w:t xml:space="preserve">Las coincidencias se validan con la fecha de nacimiento, la CURP o el RFC y el cargo, con el mismo tratamiento de falsos positivos del Capítulo 15; el resultado se documenta en el expediente.</w:t>
      </w:r>
    </w:p>
    <w:p>
      <w:pPr>
        <w:pStyle w:val="ListParagraph"/>
        <w:numPr>
          <w:ilvl w:val="0"/>
          <w:numId w:val="1"/>
        </w:numPr>
        <w:spacing w:after="60"/>
      </w:pPr>
      <w:r>
        <w:rPr>
          <w:sz w:val="20"/>
          <w:szCs w:val="20"/>
        </w:rPr>
        <w:t xml:space="preserve">Monitoreo: la calidad de PEP se verifica antes de cada acto u operación y en cada reevaluación semestral; la PEP nacional conserva esa calidad durante el año siguiente a aquel en que dejó el cargo (Art. 23 Quáter RCG).</w:t>
      </w:r>
    </w:p>
    <w:p>
      <w:pPr>
        <w:pStyle w:val="Heading2"/>
        <w:spacing w:after="120" w:before="320"/>
      </w:pPr>
      <w:r>
        <w:t xml:space="preserve">Capítulo 9. Perfil transaccional y sistema de alertas</w:t>
      </w:r>
    </w:p>
    <w:p>
      <w:pPr>
        <w:spacing w:after="120"/>
      </w:pPr>
      <w:r>
        <w:rPr>
          <w:sz w:val="20"/>
          <w:szCs w:val="20"/>
        </w:rPr>
        <w:t xml:space="preserve">La empresa determina el Perfil Transaccional inicial de cada Cliente o Usuaria con base en la información que este proporcione sobre los montos, frecuencia y tipo de actos u operaciones que estima realizar (Art. 23 Ter 1 RCG). Este perfil se incorpora a un sistema de alertas que permite detectar oportunamente comportamientos que se aparten de lo esperado y que pudieran vincularse con los delitos previstos en los artículos 139 Quáter o 400 Bis del Código Penal Federal (Art. 23 Ter 2 RCG). El Perfil Transaccional se reevalúa cuando menos cada seis meses.</w:t>
      </w:r>
    </w:p>
    <w:p>
      <w:pPr>
        <w:keepNext/>
        <w:spacing w:after="80" w:before="160"/>
      </w:pPr>
      <w:r>
        <w:rPr>
          <w:b/>
          <w:bCs/>
          <w:color w:val="B08D57"/>
          <w:sz w:val="21"/>
          <w:szCs w:val="21"/>
        </w:rPr>
        <w:t xml:space="preserve">9.1 Parámetros del sistema de alertas y documentación de resultados (Art. 37 Bis, fr. V, RCG)</w:t>
      </w:r>
    </w:p>
    <w:p>
      <w:pPr>
        <w:spacing w:after="120"/>
      </w:pPr>
      <w:r>
        <w:rPr>
          <w:sz w:val="20"/>
          <w:szCs w:val="20"/>
        </w:rPr>
        <w:t xml:space="preserve">El sistema de alertas aplica, como mínimo, los parámetros siguientes: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300"/>
        <w:gridCol w:w="3500"/>
      </w:tblGrid>
      <w:tr>
        <w:trPr>
          <w:tblHeader/>
        </w:trPr>
        <w:tc>
          <w:tcPr>
            <w:tcW w:type="dxa" w:w="1700"/>
            <w:shd w:fill="1F3864" w:val="clear"/>
            <w:tcMar>
              <w:top w:type="dxa" w:w="60"/>
              <w:left w:type="dxa" w:w="100"/>
              <w:bottom w:type="dxa" w:w="60"/>
              <w:right w:type="dxa" w:w="100"/>
            </w:tcMar>
          </w:tcPr>
          <w:p>
            <w:pPr>
              <w:spacing w:after="0"/>
            </w:pPr>
            <w:r>
              <w:rPr>
                <w:b/>
                <w:bCs/>
                <w:color w:val="FFFFFF"/>
                <w:sz w:val="18"/>
                <w:szCs w:val="18"/>
              </w:rPr>
              <w:t xml:space="preserve">Alerta</w:t>
            </w:r>
          </w:p>
        </w:tc>
        <w:tc>
          <w:tcPr>
            <w:tcW w:type="dxa" w:w="4300"/>
            <w:shd w:fill="1F3864" w:val="clear"/>
            <w:tcMar>
              <w:top w:type="dxa" w:w="60"/>
              <w:left w:type="dxa" w:w="100"/>
              <w:bottom w:type="dxa" w:w="60"/>
              <w:right w:type="dxa" w:w="100"/>
            </w:tcMar>
          </w:tcPr>
          <w:p>
            <w:pPr>
              <w:spacing w:after="0"/>
            </w:pPr>
            <w:r>
              <w:rPr>
                <w:b/>
                <w:bCs/>
                <w:color w:val="FFFFFF"/>
                <w:sz w:val="18"/>
                <w:szCs w:val="18"/>
              </w:rPr>
              <w:t xml:space="preserve">Parámetro</w:t>
            </w:r>
          </w:p>
        </w:tc>
        <w:tc>
          <w:tcPr>
            <w:tcW w:type="dxa" w:w="3500"/>
            <w:shd w:fill="1F3864" w:val="clear"/>
            <w:tcMar>
              <w:top w:type="dxa" w:w="60"/>
              <w:left w:type="dxa" w:w="100"/>
              <w:bottom w:type="dxa" w:w="60"/>
              <w:right w:type="dxa" w:w="100"/>
            </w:tcMar>
          </w:tcPr>
          <w:p>
            <w:pPr>
              <w:spacing w:after="0"/>
            </w:pPr>
            <w:r>
              <w:rPr>
                <w:b/>
                <w:bCs/>
                <w:color w:val="FFFFFF"/>
                <w:sz w:val="18"/>
                <w:szCs w:val="18"/>
              </w:rPr>
              <w:t xml:space="preserve">Acción</w:t>
            </w:r>
          </w:p>
        </w:tc>
      </w:tr>
      <w:tr>
        <w:trPr>
          <w:cantSplit/>
        </w:trPr>
        <w:tc>
          <w:tcPr>
            <w:tcW w:type="dxa" w:w="1700"/>
            <w:tcMar>
              <w:top w:type="dxa" w:w="60"/>
              <w:left w:type="dxa" w:w="100"/>
              <w:bottom w:type="dxa" w:w="60"/>
              <w:right w:type="dxa" w:w="100"/>
            </w:tcMar>
          </w:tcPr>
          <w:p>
            <w:pPr>
              <w:spacing w:after="0"/>
            </w:pPr>
            <w:r>
              <w:rPr>
                <w:sz w:val="18"/>
                <w:szCs w:val="18"/>
              </w:rPr>
              <w:t xml:space="preserve">Monto</w:t>
            </w:r>
          </w:p>
        </w:tc>
        <w:tc>
          <w:tcPr>
            <w:tcW w:type="dxa" w:w="4300"/>
            <w:tcMar>
              <w:top w:type="dxa" w:w="60"/>
              <w:left w:type="dxa" w:w="100"/>
              <w:bottom w:type="dxa" w:w="60"/>
              <w:right w:type="dxa" w:w="100"/>
            </w:tcMar>
          </w:tcPr>
          <w:p>
            <w:pPr>
              <w:spacing w:after="0"/>
            </w:pPr>
            <w:r>
              <w:rPr>
                <w:sz w:val="18"/>
                <w:szCs w:val="18"/>
              </w:rPr>
              <w:t xml:space="preserve">El acto u operación, o la suma de los realizados en el mes, excede en más de 20 % el monto máximo mensual declarado por el cliente (criterio del Programa).</w:t>
            </w:r>
          </w:p>
        </w:tc>
        <w:tc>
          <w:tcPr>
            <w:tcW w:type="dxa" w:w="3500"/>
            <w:tcMar>
              <w:top w:type="dxa" w:w="60"/>
              <w:left w:type="dxa" w:w="100"/>
              <w:bottom w:type="dxa" w:w="60"/>
              <w:right w:type="dxa" w:w="100"/>
            </w:tcMar>
          </w:tcPr>
          <w:p>
            <w:pPr>
              <w:spacing w:after="0"/>
            </w:pPr>
            <w:r>
              <w:rPr>
                <w:sz w:val="18"/>
                <w:szCs w:val="18"/>
              </w:rPr>
              <w:t xml:space="preserve">Solicitar y documentar la justificación en ≤ 2 días hábiles; actualizar el Perfil Transaccional o escalar.</w:t>
            </w:r>
          </w:p>
        </w:tc>
      </w:tr>
      <w:tr>
        <w:trPr>
          <w:cantSplit/>
        </w:trPr>
        <w:tc>
          <w:tcPr>
            <w:tcW w:type="dxa" w:w="1700"/>
            <w:tcMar>
              <w:top w:type="dxa" w:w="60"/>
              <w:left w:type="dxa" w:w="100"/>
              <w:bottom w:type="dxa" w:w="60"/>
              <w:right w:type="dxa" w:w="100"/>
            </w:tcMar>
          </w:tcPr>
          <w:p>
            <w:pPr>
              <w:spacing w:after="0"/>
            </w:pPr>
            <w:r>
              <w:rPr>
                <w:sz w:val="18"/>
                <w:szCs w:val="18"/>
              </w:rPr>
              <w:t xml:space="preserve">Forma de pago</w:t>
            </w:r>
          </w:p>
        </w:tc>
        <w:tc>
          <w:tcPr>
            <w:tcW w:type="dxa" w:w="4300"/>
            <w:tcMar>
              <w:top w:type="dxa" w:w="60"/>
              <w:left w:type="dxa" w:w="100"/>
              <w:bottom w:type="dxa" w:w="60"/>
              <w:right w:type="dxa" w:w="100"/>
            </w:tcMar>
          </w:tcPr>
          <w:p>
            <w:pPr>
              <w:spacing w:after="0"/>
            </w:pPr>
            <w:r>
              <w:rPr>
                <w:sz w:val="18"/>
                <w:szCs w:val="18"/>
              </w:rPr>
              <w:t xml:space="preserve">Cambio a efectivo, pago por un tercero, o recursos de una cuenta no declarada o del extranjero.</w:t>
            </w:r>
          </w:p>
        </w:tc>
        <w:tc>
          <w:tcPr>
            <w:tcW w:type="dxa" w:w="3500"/>
            <w:tcMar>
              <w:top w:type="dxa" w:w="60"/>
              <w:left w:type="dxa" w:w="100"/>
              <w:bottom w:type="dxa" w:w="60"/>
              <w:right w:type="dxa" w:w="100"/>
            </w:tcMar>
          </w:tcPr>
          <w:p>
            <w:pPr>
              <w:spacing w:after="0"/>
            </w:pPr>
            <w:r>
              <w:rPr>
                <w:sz w:val="18"/>
                <w:szCs w:val="18"/>
              </w:rPr>
              <w:t xml:space="preserve">Detener la recepción de recursos hasta verificar el origen; el efectivo en los supuestos del Art. 32 de la Ley está prohibido.</w:t>
            </w:r>
          </w:p>
        </w:tc>
      </w:tr>
      <w:tr>
        <w:trPr>
          <w:cantSplit/>
        </w:trPr>
        <w:tc>
          <w:tcPr>
            <w:tcW w:type="dxa" w:w="1700"/>
            <w:tcMar>
              <w:top w:type="dxa" w:w="60"/>
              <w:left w:type="dxa" w:w="100"/>
              <w:bottom w:type="dxa" w:w="60"/>
              <w:right w:type="dxa" w:w="100"/>
            </w:tcMar>
          </w:tcPr>
          <w:p>
            <w:pPr>
              <w:spacing w:after="0"/>
            </w:pPr>
            <w:r>
              <w:rPr>
                <w:sz w:val="18"/>
                <w:szCs w:val="18"/>
              </w:rPr>
              <w:t xml:space="preserve">Frecuencia</w:t>
            </w:r>
          </w:p>
        </w:tc>
        <w:tc>
          <w:tcPr>
            <w:tcW w:type="dxa" w:w="4300"/>
            <w:tcMar>
              <w:top w:type="dxa" w:w="60"/>
              <w:left w:type="dxa" w:w="100"/>
              <w:bottom w:type="dxa" w:w="60"/>
              <w:right w:type="dxa" w:w="100"/>
            </w:tcMar>
          </w:tcPr>
          <w:p>
            <w:pPr>
              <w:spacing w:after="0"/>
            </w:pPr>
            <w:r>
              <w:rPr>
                <w:sz w:val="18"/>
                <w:szCs w:val="18"/>
              </w:rPr>
              <w:t xml:space="preserve">Más actos u operaciones de los declarados en el periodo (p. ej., un segundo acto similar dentro de seis meses).</w:t>
            </w:r>
          </w:p>
        </w:tc>
        <w:tc>
          <w:tcPr>
            <w:tcW w:type="dxa" w:w="3500"/>
            <w:tcMar>
              <w:top w:type="dxa" w:w="60"/>
              <w:left w:type="dxa" w:w="100"/>
              <w:bottom w:type="dxa" w:w="60"/>
              <w:right w:type="dxa" w:w="100"/>
            </w:tcMar>
          </w:tcPr>
          <w:p>
            <w:pPr>
              <w:spacing w:after="0"/>
            </w:pPr>
            <w:r>
              <w:rPr>
                <w:sz w:val="18"/>
                <w:szCs w:val="18"/>
              </w:rPr>
              <w:t xml:space="preserve">Reevaluar el Grado de Riesgo y actualizar el expediente.</w:t>
            </w:r>
          </w:p>
        </w:tc>
      </w:tr>
      <w:tr>
        <w:trPr>
          <w:cantSplit/>
        </w:trPr>
        <w:tc>
          <w:tcPr>
            <w:tcW w:type="dxa" w:w="1700"/>
            <w:tcMar>
              <w:top w:type="dxa" w:w="60"/>
              <w:left w:type="dxa" w:w="100"/>
              <w:bottom w:type="dxa" w:w="60"/>
              <w:right w:type="dxa" w:w="100"/>
            </w:tcMar>
          </w:tcPr>
          <w:p>
            <w:pPr>
              <w:spacing w:after="0"/>
            </w:pPr>
            <w:r>
              <w:rPr>
                <w:sz w:val="18"/>
                <w:szCs w:val="18"/>
              </w:rPr>
              <w:t xml:space="preserve">Geografía</w:t>
            </w:r>
          </w:p>
        </w:tc>
        <w:tc>
          <w:tcPr>
            <w:tcW w:type="dxa" w:w="4300"/>
            <w:tcMar>
              <w:top w:type="dxa" w:w="60"/>
              <w:left w:type="dxa" w:w="100"/>
              <w:bottom w:type="dxa" w:w="60"/>
              <w:right w:type="dxa" w:w="100"/>
            </w:tcMar>
          </w:tcPr>
          <w:p>
            <w:pPr>
              <w:spacing w:after="0"/>
            </w:pPr>
            <w:r>
              <w:rPr>
                <w:sz w:val="18"/>
                <w:szCs w:val="18"/>
              </w:rPr>
              <w:t xml:space="preserve">Recursos, domicilio o contrapartes vinculados con jurisdicciones de Riesgo.</w:t>
            </w:r>
          </w:p>
        </w:tc>
        <w:tc>
          <w:tcPr>
            <w:tcW w:type="dxa" w:w="3500"/>
            <w:tcMar>
              <w:top w:type="dxa" w:w="60"/>
              <w:left w:type="dxa" w:w="100"/>
              <w:bottom w:type="dxa" w:w="60"/>
              <w:right w:type="dxa" w:w="100"/>
            </w:tcMar>
          </w:tcPr>
          <w:p>
            <w:pPr>
              <w:spacing w:after="0"/>
            </w:pPr>
            <w:r>
              <w:rPr>
                <w:sz w:val="18"/>
                <w:szCs w:val="18"/>
              </w:rPr>
              <w:t xml:space="preserve">Clasificar como Riesgo alto cuando corresponda (Art. 23 Bis 4 RCG).</w:t>
            </w:r>
          </w:p>
        </w:tc>
      </w:tr>
      <w:tr>
        <w:trPr>
          <w:cantSplit/>
        </w:trPr>
        <w:tc>
          <w:tcPr>
            <w:tcW w:type="dxa" w:w="1700"/>
            <w:tcMar>
              <w:top w:type="dxa" w:w="60"/>
              <w:left w:type="dxa" w:w="100"/>
              <w:bottom w:type="dxa" w:w="60"/>
              <w:right w:type="dxa" w:w="100"/>
            </w:tcMar>
          </w:tcPr>
          <w:p>
            <w:pPr>
              <w:spacing w:after="0"/>
            </w:pPr>
            <w:r>
              <w:rPr>
                <w:sz w:val="18"/>
                <w:szCs w:val="18"/>
              </w:rPr>
              <w:t xml:space="preserve">Listas y PEP</w:t>
            </w:r>
          </w:p>
        </w:tc>
        <w:tc>
          <w:tcPr>
            <w:tcW w:type="dxa" w:w="4300"/>
            <w:tcMar>
              <w:top w:type="dxa" w:w="60"/>
              <w:left w:type="dxa" w:w="100"/>
              <w:bottom w:type="dxa" w:w="60"/>
              <w:right w:type="dxa" w:w="100"/>
            </w:tcMar>
          </w:tcPr>
          <w:p>
            <w:pPr>
              <w:spacing w:after="0"/>
            </w:pPr>
            <w:r>
              <w:rPr>
                <w:sz w:val="18"/>
                <w:szCs w:val="18"/>
              </w:rPr>
              <w:t xml:space="preserve">Coincidencia en listas o adquisición de la calidad de PEP.</w:t>
            </w:r>
          </w:p>
        </w:tc>
        <w:tc>
          <w:tcPr>
            <w:tcW w:type="dxa" w:w="3500"/>
            <w:tcMar>
              <w:top w:type="dxa" w:w="60"/>
              <w:left w:type="dxa" w:w="100"/>
              <w:bottom w:type="dxa" w:w="60"/>
              <w:right w:type="dxa" w:w="100"/>
            </w:tcMar>
          </w:tcPr>
          <w:p>
            <w:pPr>
              <w:spacing w:after="0"/>
            </w:pPr>
            <w:r>
              <w:rPr>
                <w:sz w:val="18"/>
                <w:szCs w:val="18"/>
              </w:rPr>
              <w:t xml:space="preserve">Aplicar el procedimiento de listas o la política de PEP's de este Manual.</w:t>
            </w:r>
          </w:p>
        </w:tc>
      </w:tr>
      <w:tr>
        <w:trPr>
          <w:cantSplit/>
        </w:trPr>
        <w:tc>
          <w:tcPr>
            <w:tcW w:type="dxa" w:w="1700"/>
            <w:tcMar>
              <w:top w:type="dxa" w:w="60"/>
              <w:left w:type="dxa" w:w="100"/>
              <w:bottom w:type="dxa" w:w="60"/>
              <w:right w:type="dxa" w:w="100"/>
            </w:tcMar>
          </w:tcPr>
          <w:p>
            <w:pPr>
              <w:spacing w:after="0"/>
            </w:pPr>
            <w:r>
              <w:rPr>
                <w:sz w:val="18"/>
                <w:szCs w:val="18"/>
              </w:rPr>
              <w:t xml:space="preserve">Precio</w:t>
            </w:r>
          </w:p>
        </w:tc>
        <w:tc>
          <w:tcPr>
            <w:tcW w:type="dxa" w:w="4300"/>
            <w:tcMar>
              <w:top w:type="dxa" w:w="60"/>
              <w:left w:type="dxa" w:w="100"/>
              <w:bottom w:type="dxa" w:w="60"/>
              <w:right w:type="dxa" w:w="100"/>
            </w:tcMar>
          </w:tcPr>
          <w:p>
            <w:pPr>
              <w:spacing w:after="0"/>
            </w:pPr>
            <w:r>
              <w:rPr>
                <w:sz w:val="18"/>
                <w:szCs w:val="18"/>
              </w:rPr>
              <w:t xml:space="preserve">Precio pactado notoriamente distinto del valor de mercado o de avalúo, o aportaciones a una preventa muy superiores al perfil del cliente.</w:t>
            </w:r>
          </w:p>
        </w:tc>
        <w:tc>
          <w:tcPr>
            <w:tcW w:type="dxa" w:w="3500"/>
            <w:tcMar>
              <w:top w:type="dxa" w:w="60"/>
              <w:left w:type="dxa" w:w="100"/>
              <w:bottom w:type="dxa" w:w="60"/>
              <w:right w:type="dxa" w:w="100"/>
            </w:tcMar>
          </w:tcPr>
          <w:p>
            <w:pPr>
              <w:spacing w:after="0"/>
            </w:pPr>
            <w:r>
              <w:rPr>
                <w:sz w:val="18"/>
                <w:szCs w:val="18"/>
              </w:rPr>
              <w:t xml:space="preserve">Documentar la justificación económica; analizar Aviso por sospecha (D9).</w:t>
            </w:r>
          </w:p>
        </w:tc>
      </w:tr>
      <w:tr>
        <w:trPr>
          <w:cantSplit/>
        </w:trPr>
        <w:tc>
          <w:tcPr>
            <w:tcW w:type="dxa" w:w="1700"/>
            <w:tcMar>
              <w:top w:type="dxa" w:w="60"/>
              <w:left w:type="dxa" w:w="100"/>
              <w:bottom w:type="dxa" w:w="60"/>
              <w:right w:type="dxa" w:w="100"/>
            </w:tcMar>
          </w:tcPr>
          <w:p>
            <w:pPr>
              <w:spacing w:after="0"/>
            </w:pPr>
            <w:r>
              <w:rPr>
                <w:sz w:val="18"/>
                <w:szCs w:val="18"/>
              </w:rPr>
              <w:t xml:space="preserve">Arrendamiento</w:t>
            </w:r>
          </w:p>
        </w:tc>
        <w:tc>
          <w:tcPr>
            <w:tcW w:type="dxa" w:w="4300"/>
            <w:tcMar>
              <w:top w:type="dxa" w:w="60"/>
              <w:left w:type="dxa" w:w="100"/>
              <w:bottom w:type="dxa" w:w="60"/>
              <w:right w:type="dxa" w:w="100"/>
            </w:tcMar>
          </w:tcPr>
          <w:p>
            <w:pPr>
              <w:spacing w:after="0"/>
            </w:pPr>
            <w:r>
              <w:rPr>
                <w:sz w:val="18"/>
                <w:szCs w:val="18"/>
              </w:rPr>
              <w:t xml:space="preserve">Pago anticipado de varias rentas, depósitos atípicos o pagos de personas distintas del arrendatario.</w:t>
            </w:r>
          </w:p>
        </w:tc>
        <w:tc>
          <w:tcPr>
            <w:tcW w:type="dxa" w:w="3500"/>
            <w:tcMar>
              <w:top w:type="dxa" w:w="60"/>
              <w:left w:type="dxa" w:w="100"/>
              <w:bottom w:type="dxa" w:w="60"/>
              <w:right w:type="dxa" w:w="100"/>
            </w:tcMar>
          </w:tcPr>
          <w:p>
            <w:pPr>
              <w:spacing w:after="0"/>
            </w:pPr>
            <w:r>
              <w:rPr>
                <w:sz w:val="18"/>
                <w:szCs w:val="18"/>
              </w:rPr>
              <w:t xml:space="preserve">Verificar el origen de los recursos y la relación del pagador con el arrendatario.</w:t>
            </w:r>
          </w:p>
        </w:tc>
      </w:tr>
    </w:tbl>
    <w:p>
      <w:pPr>
        <w:spacing w:after="80"/>
      </w:pPr>
    </w:p>
    <w:p>
      <w:pPr>
        <w:spacing w:after="120"/>
      </w:pPr>
      <w:r>
        <w:rPr>
          <w:sz w:val="20"/>
          <w:szCs w:val="20"/>
        </w:rPr>
        <w:t xml:space="preserve">Cada alerta se registra con fecha, cliente, parámetro, análisis, decisión (descartada; Perfil actualizado; reclasificación del Grado de Riesgo; o análisis de Aviso) y responsable. Si una alerta no puede descartarse razonablemente, se analiza conforme al Documento D9 para determinar si procede el Aviso dentro de las 24 horas siguientes. Los registros se conservan diez años e integran los mecanismos automatizados.</w:t>
      </w:r>
    </w:p>
    <w:p>
      <w:pPr>
        <w:pStyle w:val="Heading2"/>
        <w:spacing w:after="120" w:before="320"/>
      </w:pPr>
      <w:r>
        <w:t xml:space="preserve">Capítulo 10. Operaciones inusuales y relevantes</w:t>
      </w:r>
    </w:p>
    <w:p>
      <w:pPr>
        <w:spacing w:after="80" w:before="160"/>
      </w:pPr>
      <w:r>
        <w:rPr>
          <w:b/>
          <w:bCs/>
          <w:color w:val="B08D57"/>
          <w:sz w:val="21"/>
          <w:szCs w:val="21"/>
        </w:rPr>
        <w:t xml:space="preserve">10.1 Señales de alerta en el sector inmobiliario</w:t>
      </w:r>
    </w:p>
    <w:p>
      <w:pPr>
        <w:pStyle w:val="ListParagraph"/>
        <w:numPr>
          <w:ilvl w:val="0"/>
          <w:numId w:val="1"/>
        </w:numPr>
        <w:spacing w:after="60"/>
      </w:pPr>
      <w:r>
        <w:rPr>
          <w:sz w:val="20"/>
          <w:szCs w:val="20"/>
        </w:rPr>
        <w:t xml:space="preserve">Pretensión de pagar en efectivo, total o parcialmente, una operación cuyo valor alcance los umbrales del Art. 32 LFPIORPI (prohibido)</w:t>
      </w:r>
    </w:p>
    <w:p>
      <w:pPr>
        <w:pStyle w:val="ListParagraph"/>
        <w:numPr>
          <w:ilvl w:val="0"/>
          <w:numId w:val="1"/>
        </w:numPr>
        <w:spacing w:after="60"/>
      </w:pPr>
      <w:r>
        <w:rPr>
          <w:sz w:val="20"/>
          <w:szCs w:val="20"/>
        </w:rPr>
        <w:t xml:space="preserve">Adquisición de varios inmuebles en poco tiempo sin justificación económica aparente</w:t>
      </w:r>
    </w:p>
    <w:p>
      <w:pPr>
        <w:pStyle w:val="ListParagraph"/>
        <w:numPr>
          <w:ilvl w:val="0"/>
          <w:numId w:val="1"/>
        </w:numPr>
        <w:spacing w:after="60"/>
      </w:pPr>
      <w:r>
        <w:rPr>
          <w:sz w:val="20"/>
          <w:szCs w:val="20"/>
        </w:rPr>
        <w:t xml:space="preserve">Cliente que no puede explicar el origen de sus recursos</w:t>
      </w:r>
    </w:p>
    <w:p>
      <w:pPr>
        <w:pStyle w:val="ListParagraph"/>
        <w:numPr>
          <w:ilvl w:val="0"/>
          <w:numId w:val="1"/>
        </w:numPr>
        <w:spacing w:after="60"/>
      </w:pPr>
      <w:r>
        <w:rPr>
          <w:sz w:val="20"/>
          <w:szCs w:val="20"/>
        </w:rPr>
        <w:t xml:space="preserve">Uso de terceros o prestanombres para formalizar la operación</w:t>
      </w:r>
    </w:p>
    <w:p>
      <w:pPr>
        <w:pStyle w:val="ListParagraph"/>
        <w:numPr>
          <w:ilvl w:val="0"/>
          <w:numId w:val="1"/>
        </w:numPr>
        <w:spacing w:after="60"/>
      </w:pPr>
      <w:r>
        <w:rPr>
          <w:sz w:val="20"/>
          <w:szCs w:val="20"/>
        </w:rPr>
        <w:t xml:space="preserve">Precio de compraventa significativamente diferente al valor de mercado</w:t>
      </w:r>
    </w:p>
    <w:p>
      <w:pPr>
        <w:pStyle w:val="ListParagraph"/>
        <w:numPr>
          <w:ilvl w:val="0"/>
          <w:numId w:val="1"/>
        </w:numPr>
        <w:spacing w:after="60"/>
      </w:pPr>
      <w:r>
        <w:rPr>
          <w:sz w:val="20"/>
          <w:szCs w:val="20"/>
        </w:rPr>
        <w:t xml:space="preserve">Solicitud de subdivisiones artificiales de pagos para evitar umbrales</w:t>
      </w:r>
    </w:p>
    <w:p>
      <w:pPr>
        <w:pStyle w:val="ListParagraph"/>
        <w:numPr>
          <w:ilvl w:val="0"/>
          <w:numId w:val="1"/>
        </w:numPr>
        <w:spacing w:after="60"/>
      </w:pPr>
      <w:r>
        <w:rPr>
          <w:sz w:val="20"/>
          <w:szCs w:val="20"/>
        </w:rPr>
        <w:t xml:space="preserve">Actos u operaciones que se aparten del Perfil Transaccional determinado conforme al Capítulo 9</w:t>
      </w:r>
    </w:p>
    <w:p>
      <w:pPr>
        <w:pStyle w:val="Heading2"/>
        <w:spacing w:after="120" w:before="320"/>
      </w:pPr>
      <w:r>
        <w:t xml:space="preserve">Capítulo 11. Restricción de pagos en efectivo</w:t>
      </w:r>
    </w:p>
    <w:p>
      <w:pPr>
        <w:spacing w:after="120"/>
      </w:pPr>
      <w:r>
        <w:rPr>
          <w:sz w:val="20"/>
          <w:szCs w:val="20"/>
        </w:rPr>
        <w:t xml:space="preserve">Conforme al artículo 32 de la LFPIORPI, está prohibido liquidar o aceptar pagos en efectivo (monedas, billetes o Metales Preciosos) en la constitución o transmisión de derechos reales sobre inmuebles por un valor igual o superior al equivalente a 8,025 veces la UMA diaria (fracción I), y en la constitución de derechos personales de uso o goce de inmuebles (rentas) por un valor igual o superior a 3,210 veces la UMA diaria mensuales (fracción VII), al día en que se realice el pago o se cumpla la obligación.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200"/>
            <w:shd w:fill="1F3864" w:val="clear"/>
            <w:tcMar>
              <w:top w:type="dxa" w:w="70"/>
              <w:left w:type="dxa" w:w="100"/>
              <w:bottom w:type="dxa" w:w="70"/>
              <w:right w:type="dxa" w:w="100"/>
            </w:tcMar>
          </w:tcPr>
          <w:p>
            <w:r>
              <w:rPr>
                <w:b/>
                <w:bCs/>
                <w:color w:val="FFFFFF"/>
                <w:sz w:val="18"/>
                <w:szCs w:val="18"/>
              </w:rPr>
              <w:t xml:space="preserve">Cálculo del umbral Art. 32</w:t>
            </w:r>
          </w:p>
        </w:tc>
        <w:tc>
          <w:tcPr>
            <w:tcW w:type="dxa" w:w="4400"/>
            <w:shd w:fill="1F3864" w:val="clear"/>
            <w:tcMar>
              <w:top w:type="dxa" w:w="70"/>
              <w:left w:type="dxa" w:w="100"/>
              <w:bottom w:type="dxa" w:w="70"/>
              <w:right w:type="dxa" w:w="100"/>
            </w:tcMar>
          </w:tcPr>
          <w:p>
            <w:r>
              <w:rPr>
                <w:b/>
                <w:bCs/>
                <w:color w:val="FFFFFF"/>
                <w:sz w:val="18"/>
                <w:szCs w:val="18"/>
              </w:rPr>
              <w:t xml:space="preserve">Monto</w:t>
            </w:r>
          </w:p>
        </w:tc>
      </w:tr>
      <w:tr>
        <w:tc>
          <w:tcPr>
            <w:tcW w:type="dxa" w:w="5200"/>
            <w:tcMar>
              <w:top w:type="dxa" w:w="70"/>
              <w:left w:type="dxa" w:w="100"/>
              <w:bottom w:type="dxa" w:w="70"/>
              <w:right w:type="dxa" w:w="100"/>
            </w:tcMar>
          </w:tcPr>
          <w:p>
            <w:r>
              <w:rPr>
                <w:b w:val="false"/>
                <w:bCs w:val="false"/>
                <w:sz w:val="18"/>
                <w:szCs w:val="18"/>
              </w:rPr>
              <w:t xml:space="preserve">UMA 2026 diaria</w:t>
            </w:r>
          </w:p>
        </w:tc>
        <w:tc>
          <w:tcPr>
            <w:tcW w:type="dxa" w:w="4400"/>
            <w:tcMar>
              <w:top w:type="dxa" w:w="70"/>
              <w:left w:type="dxa" w:w="100"/>
              <w:bottom w:type="dxa" w:w="70"/>
              <w:right w:type="dxa" w:w="100"/>
            </w:tcMar>
          </w:tcPr>
          <w:p>
            <w:r>
              <w:rPr>
                <w:b w:val="false"/>
                <w:bCs w:val="false"/>
                <w:sz w:val="18"/>
                <w:szCs w:val="18"/>
              </w:rPr>
              <w:t xml:space="preserve">$117.31 MXN</w:t>
            </w:r>
          </w:p>
        </w:tc>
      </w:tr>
      <w:tr>
        <w:tc>
          <w:tcPr>
            <w:tcW w:type="dxa" w:w="5200"/>
            <w:tcMar>
              <w:top w:type="dxa" w:w="70"/>
              <w:left w:type="dxa" w:w="100"/>
              <w:bottom w:type="dxa" w:w="70"/>
              <w:right w:type="dxa" w:w="100"/>
            </w:tcMar>
          </w:tcPr>
          <w:p>
            <w:r>
              <w:rPr>
                <w:b w:val="false"/>
                <w:bCs w:val="false"/>
                <w:sz w:val="18"/>
                <w:szCs w:val="18"/>
              </w:rPr>
              <w:t xml:space="preserve">8,025 UMA diarias</w:t>
            </w:r>
          </w:p>
        </w:tc>
        <w:tc>
          <w:tcPr>
            <w:tcW w:type="dxa" w:w="4400"/>
            <w:tcMar>
              <w:top w:type="dxa" w:w="70"/>
              <w:left w:type="dxa" w:w="100"/>
              <w:bottom w:type="dxa" w:w="70"/>
              <w:right w:type="dxa" w:w="100"/>
            </w:tcMar>
          </w:tcPr>
          <w:p>
            <w:r>
              <w:rPr>
                <w:b w:val="false"/>
                <w:bCs w:val="false"/>
                <w:sz w:val="18"/>
                <w:szCs w:val="18"/>
              </w:rPr>
              <w:t xml:space="preserve">$941,412.75 MXN</w:t>
            </w:r>
          </w:p>
        </w:tc>
      </w:tr>
      <w:tr>
        <w:tc>
          <w:tcPr>
            <w:tcW w:type="dxa" w:w="5200"/>
            <w:tcMar>
              <w:top w:type="dxa" w:w="70"/>
              <w:left w:type="dxa" w:w="100"/>
              <w:bottom w:type="dxa" w:w="70"/>
              <w:right w:type="dxa" w:w="100"/>
            </w:tcMar>
          </w:tcPr>
          <w:p>
            <w:r>
              <w:rPr>
                <w:b w:val="false"/>
                <w:bCs w:val="false"/>
                <w:sz w:val="18"/>
                <w:szCs w:val="18"/>
              </w:rPr>
              <w:t xml:space="preserve">Medición</w:t>
            </w:r>
          </w:p>
        </w:tc>
        <w:tc>
          <w:tcPr>
            <w:tcW w:type="dxa" w:w="4400"/>
            <w:tcMar>
              <w:top w:type="dxa" w:w="70"/>
              <w:left w:type="dxa" w:w="100"/>
              <w:bottom w:type="dxa" w:w="70"/>
              <w:right w:type="dxa" w:w="100"/>
            </w:tcMar>
          </w:tcPr>
          <w:p>
            <w:r>
              <w:rPr>
                <w:b w:val="false"/>
                <w:bCs w:val="false"/>
                <w:sz w:val="18"/>
                <w:szCs w:val="18"/>
              </w:rPr>
              <w:t xml:space="preserve">Contra el valor total del acto u operación, no contra la parte pagada en efectivo</w:t>
            </w:r>
          </w:p>
        </w:tc>
      </w:tr>
      <w:tr>
        <w:tc>
          <w:tcPr>
            <w:tcW w:type="dxa" w:w="5200"/>
            <w:tcMar>
              <w:top w:type="dxa" w:w="70"/>
              <w:left w:type="dxa" w:w="100"/>
              <w:bottom w:type="dxa" w:w="70"/>
              <w:right w:type="dxa" w:w="100"/>
            </w:tcMar>
          </w:tcPr>
          <w:p>
            <w:r>
              <w:rPr>
                <w:b w:val="false"/>
                <w:bCs w:val="false"/>
                <w:sz w:val="18"/>
                <w:szCs w:val="18"/>
              </w:rPr>
              <w:t xml:space="preserve">UMBRAL APLICABLE (INMUEBLES)</w:t>
            </w:r>
          </w:p>
        </w:tc>
        <w:tc>
          <w:tcPr>
            <w:tcW w:type="dxa" w:w="4400"/>
            <w:tcMar>
              <w:top w:type="dxa" w:w="70"/>
              <w:left w:type="dxa" w:w="100"/>
              <w:bottom w:type="dxa" w:w="70"/>
              <w:right w:type="dxa" w:w="100"/>
            </w:tcMar>
          </w:tcPr>
          <w:p>
            <w:r>
              <w:rPr>
                <w:b w:val="false"/>
                <w:bCs w:val="false"/>
                <w:sz w:val="18"/>
                <w:szCs w:val="18"/>
              </w:rPr>
              <w:t xml:space="preserve">$941,412.75 MXN</w:t>
            </w:r>
          </w:p>
        </w:tc>
      </w:tr>
    </w:tbl>
    <w:p>
      <w:pPr>
        <w:pStyle w:val="Heading2"/>
        <w:spacing w:after="120" w:before="320"/>
      </w:pPr>
      <w:r>
        <w:t xml:space="preserve">Capítulo 12. Presentación de Avisos e Informes ante el SAT</w:t>
      </w:r>
    </w:p>
    <w:p>
      <w:pPr>
        <w:spacing w:after="120"/>
      </w:pPr>
      <w:r>
        <w:rPr>
          <w:sz w:val="20"/>
          <w:szCs w:val="20"/>
        </w:rPr>
        <w:t xml:space="preserve">Los Avisos deben presentarse ante la UIF, por conducto del SAT, a más tardar el día 17 del mes inmediato siguiente a aquel en que se realizó la operación (Art. 23 de la LFPIORPI). En meses sin operaciones que reportar, se presenta un Informe en ceros conforme al Art. 25 de las RCG.</w:t>
      </w:r>
    </w:p>
    <w:p>
      <w:pPr>
        <w:spacing w:after="120"/>
      </w:pPr>
      <w:r>
        <w:rPr>
          <w:sz w:val="20"/>
          <w:szCs w:val="20"/>
        </w:rPr>
        <w:t xml:space="preserve">El Aviso por sospecha se envía dentro de las 24 horas siguientes a que la empresa reconozca una conducta inusitada del cliente vinculada con posibles Delitos de Operaciones con Recursos de Procedencia Ilícita (Art. 26 Bis RCG); el Aviso por hechos o indicios obtenidos de fuentes públicas o privadas sigue el mismo plazo de 24 horas (Art. 26 Bis 1 RCG). Ambos pueden presentarse aun cuando el acto no alcance el umbral o no se haya consumado (Art. 26 Bis 2 RCG).</w:t>
      </w:r>
    </w:p>
    <w:p>
      <w:pPr>
        <w:spacing w:after="120"/>
      </w:pPr>
      <w:r>
        <w:rPr>
          <w:sz w:val="20"/>
          <w:szCs w:val="20"/>
        </w:rPr>
        <w:t xml:space="preserve">Para la fracción V Bis (desarrollos inmobiliarios), la empresa podrá enviar un solo Aviso mensual consolidado por todas las aportaciones recibidas en el mes calendario y aplicadas al mismo desarrollo, siempre que se respete el plazo máximo del Art. 23 de la Ley (Art. 24 Bis 1 RCG).</w:t>
      </w:r>
    </w:p>
    <w:p>
      <w:pPr>
        <w:spacing w:after="160" w:before="60"/>
      </w:pPr>
      <w:r>
        <w:rPr>
          <w:i/>
          <w:iCs/>
          <w:color w:val="666666"/>
          <w:sz w:val="19"/>
          <w:szCs w:val="19"/>
        </w:rPr>
        <w:t xml:space="preserve">Ver Documentos D9 y D12.</w:t>
      </w:r>
    </w:p>
    <w:p>
      <w:pPr>
        <w:keepNext/>
        <w:spacing w:after="80" w:before="160"/>
      </w:pPr>
      <w:r>
        <w:rPr>
          <w:b/>
          <w:bCs/>
          <w:color w:val="B08D57"/>
          <w:sz w:val="21"/>
          <w:szCs w:val="21"/>
        </w:rPr>
        <w:t xml:space="preserve">12.1 Envío, control de calidad y acuses (Art. 37 Bis, fr. VI, RCG)</w:t>
      </w:r>
    </w:p>
    <w:p>
      <w:pPr>
        <w:pStyle w:val="ListParagraph"/>
        <w:numPr>
          <w:ilvl w:val="0"/>
          <w:numId w:val="1"/>
        </w:numPr>
        <w:spacing w:after="60"/>
      </w:pPr>
      <w:r>
        <w:rPr>
          <w:sz w:val="20"/>
          <w:szCs w:val="20"/>
        </w:rPr>
        <w:t xml:space="preserve">Vehículo: Portal en Internet del SAT, en el formato oficial vigente y con la e.firma de la empresa (persona moral); no puede utilizarse la e.firma del representante legal ni del Representante Encargado de Cumplimiento (Art. 24, segundo párrafo, RCG).</w:t>
      </w:r>
    </w:p>
    <w:p>
      <w:pPr>
        <w:pStyle w:val="ListParagraph"/>
        <w:numPr>
          <w:ilvl w:val="0"/>
          <w:numId w:val="1"/>
        </w:numPr>
        <w:spacing w:after="60"/>
      </w:pPr>
      <w:r>
        <w:rPr>
          <w:sz w:val="20"/>
          <w:szCs w:val="20"/>
        </w:rPr>
        <w:t xml:space="preserve">Calendario mensual (criterio del Programa): cierre de los actos u operaciones del mes el último día natural; preparación de los Avisos dentro de los primeros diez días; envío a más tardar el día 15, como margen de seguridad frente al límite legal del día 17.</w:t>
      </w:r>
    </w:p>
    <w:p>
      <w:pPr>
        <w:pStyle w:val="ListParagraph"/>
        <w:numPr>
          <w:ilvl w:val="0"/>
          <w:numId w:val="1"/>
        </w:numPr>
        <w:spacing w:after="60"/>
      </w:pPr>
      <w:r>
        <w:rPr>
          <w:sz w:val="20"/>
          <w:szCs w:val="20"/>
        </w:rPr>
        <w:t xml:space="preserve">Control de calidad previo al envío: se verifican contra el expediente los datos del Cliente o Usuaria y del Beneficiario Controlador (nombre, RFC, CURP), la fecha del acto u operación (Arts. 5 y 24 del Reglamento y 24 Bis RCG), el monto, la forma de pago y la descripción del acto. Siempre que sea posible, la verificación la realiza una persona distinta de quien capturó el Aviso.</w:t>
      </w:r>
    </w:p>
    <w:p>
      <w:pPr>
        <w:pStyle w:val="ListParagraph"/>
        <w:numPr>
          <w:ilvl w:val="0"/>
          <w:numId w:val="1"/>
        </w:numPr>
        <w:spacing w:after="60"/>
      </w:pPr>
      <w:r>
        <w:rPr>
          <w:sz w:val="20"/>
          <w:szCs w:val="20"/>
        </w:rPr>
        <w:t xml:space="preserve">Acuses: el acuse con sello digital se descarga y conserva en el expediente del cliente y en el control mensual (Documento D12) durante diez años; cada mes se concilian los actos u operaciones realizados, los Avisos o el informe en ceros presentados y sus acuses.</w:t>
      </w:r>
    </w:p>
    <w:p>
      <w:pPr>
        <w:pStyle w:val="ListParagraph"/>
        <w:numPr>
          <w:ilvl w:val="0"/>
          <w:numId w:val="1"/>
        </w:numPr>
        <w:spacing w:after="60"/>
      </w:pPr>
      <w:r>
        <w:rPr>
          <w:sz w:val="20"/>
          <w:szCs w:val="20"/>
        </w:rPr>
        <w:t xml:space="preserve">Correcciones: si se detecta un error en un Aviso presentado, se presenta el Aviso modificatorio disponible en el Portal y se documentan la causa y la fecha de corrección.</w:t>
      </w:r>
    </w:p>
    <w:p>
      <w:pPr>
        <w:pStyle w:val="ListParagraph"/>
        <w:numPr>
          <w:ilvl w:val="0"/>
          <w:numId w:val="1"/>
        </w:numPr>
        <w:spacing w:after="60"/>
      </w:pPr>
      <w:r>
        <w:rPr>
          <w:sz w:val="20"/>
          <w:szCs w:val="20"/>
        </w:rPr>
        <w:t xml:space="preserve">Avisos de 24 horas: el análisis que lleva a presentar —o a no presentar— un Aviso por sospecha o por hechos o indicios se documenta por escrito, y su contenido se mantiene en estricta confidencialidad.</w:t>
      </w:r>
    </w:p>
    <w:p>
      <w:pPr>
        <w:pStyle w:val="Heading2"/>
        <w:spacing w:after="120" w:before="320"/>
      </w:pPr>
      <w:r>
        <w:t xml:space="preserve">Capítulo 13. Seguimiento y acumulación de actos u operaciones</w:t>
      </w:r>
    </w:p>
    <w:p>
      <w:pPr>
        <w:spacing w:after="120"/>
      </w:pPr>
      <w:r>
        <w:rPr>
          <w:sz w:val="20"/>
          <w:szCs w:val="20"/>
        </w:rPr>
        <w:t xml:space="preserve">La empresa establece mecanismos para dar seguimiento y acumular los actos u operaciones que, en lo individual, realice cada Cliente o Usuaria, en periodos de hasta seis meses contados a partir del primer acto (Art. 19 RCG), a efecto de determinar si en conjunto alcanzan el umbral de Aviso aplicable a la Actividad Vulnerable de que se trate.</w:t>
      </w:r>
    </w:p>
    <w:p>
      <w:pPr>
        <w:pStyle w:val="Heading2"/>
        <w:spacing w:after="120" w:before="320"/>
      </w:pPr>
      <w:r>
        <w:t xml:space="preserve">Capítulo 14. Resguardo documental</w:t>
      </w:r>
    </w:p>
    <w:p>
      <w:pPr>
        <w:spacing w:after="120"/>
      </w:pPr>
      <w:r>
        <w:rPr>
          <w:sz w:val="20"/>
          <w:szCs w:val="20"/>
        </w:rPr>
        <w:t xml:space="preserve">Todos los documentos generados en el marco del Programa Certus PLD deben conservarse conforme a los siguientes plazos: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400"/>
            <w:shd w:fill="1F3864" w:val="clear"/>
            <w:tcMar>
              <w:top w:type="dxa" w:w="70"/>
              <w:left w:type="dxa" w:w="100"/>
              <w:bottom w:type="dxa" w:w="70"/>
              <w:right w:type="dxa" w:w="100"/>
            </w:tcMar>
          </w:tcPr>
          <w:p>
            <w:r>
              <w:rPr>
                <w:b/>
                <w:bCs/>
                <w:color w:val="FFFFFF"/>
                <w:sz w:val="18"/>
                <w:szCs w:val="18"/>
              </w:rPr>
              <w:t xml:space="preserve">Documento / registro</w:t>
            </w:r>
          </w:p>
        </w:tc>
        <w:tc>
          <w:tcPr>
            <w:tcW w:type="dxa" w:w="2600"/>
            <w:shd w:fill="1F3864" w:val="clear"/>
            <w:tcMar>
              <w:top w:type="dxa" w:w="70"/>
              <w:left w:type="dxa" w:w="100"/>
              <w:bottom w:type="dxa" w:w="70"/>
              <w:right w:type="dxa" w:w="100"/>
            </w:tcMar>
          </w:tcPr>
          <w:p>
            <w:r>
              <w:rPr>
                <w:b/>
                <w:bCs/>
                <w:color w:val="FFFFFF"/>
                <w:sz w:val="18"/>
                <w:szCs w:val="18"/>
              </w:rPr>
              <w:t xml:space="preserve">Plazo</w:t>
            </w:r>
          </w:p>
        </w:tc>
        <w:tc>
          <w:tcPr>
            <w:tcW w:type="dxa" w:w="2600"/>
            <w:shd w:fill="1F3864" w:val="clear"/>
            <w:tcMar>
              <w:top w:type="dxa" w:w="70"/>
              <w:left w:type="dxa" w:w="100"/>
              <w:bottom w:type="dxa" w:w="70"/>
              <w:right w:type="dxa" w:w="100"/>
            </w:tcMar>
          </w:tcPr>
          <w:p>
            <w:r>
              <w:rPr>
                <w:b/>
                <w:bCs/>
                <w:color w:val="FFFFFF"/>
                <w:sz w:val="18"/>
                <w:szCs w:val="18"/>
              </w:rPr>
              <w:t xml:space="preserve">Fundamento</w:t>
            </w:r>
          </w:p>
        </w:tc>
      </w:tr>
      <w:tr>
        <w:tc>
          <w:tcPr>
            <w:tcW w:type="dxa" w:w="4400"/>
            <w:tcMar>
              <w:top w:type="dxa" w:w="70"/>
              <w:left w:type="dxa" w:w="100"/>
              <w:bottom w:type="dxa" w:w="70"/>
              <w:right w:type="dxa" w:w="100"/>
            </w:tcMar>
          </w:tcPr>
          <w:p>
            <w:r>
              <w:rPr>
                <w:b w:val="false"/>
                <w:bCs w:val="false"/>
                <w:sz w:val="18"/>
                <w:szCs w:val="18"/>
              </w:rPr>
              <w:t xml:space="preserve">Expedientes de identificación de Clientes o Usuarias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18, fr. IV, LFPIORPI</w:t>
            </w:r>
          </w:p>
        </w:tc>
      </w:tr>
      <w:tr>
        <w:tc>
          <w:tcPr>
            <w:tcW w:type="dxa" w:w="4400"/>
            <w:tcMar>
              <w:top w:type="dxa" w:w="70"/>
              <w:left w:type="dxa" w:w="100"/>
              <w:bottom w:type="dxa" w:w="70"/>
              <w:right w:type="dxa" w:w="100"/>
            </w:tcMar>
          </w:tcPr>
          <w:p>
            <w:r>
              <w:rPr>
                <w:b w:val="false"/>
                <w:bCs w:val="false"/>
                <w:sz w:val="18"/>
                <w:szCs w:val="18"/>
              </w:rPr>
              <w:t xml:space="preserve">Metodología EBR, indicadores y resultados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10 Septies 3 RCG</w:t>
            </w:r>
          </w:p>
        </w:tc>
      </w:tr>
      <w:tr>
        <w:tc>
          <w:tcPr>
            <w:tcW w:type="dxa" w:w="4400"/>
            <w:tcMar>
              <w:top w:type="dxa" w:w="70"/>
              <w:left w:type="dxa" w:w="100"/>
              <w:bottom w:type="dxa" w:w="70"/>
              <w:right w:type="dxa" w:w="100"/>
            </w:tcMar>
          </w:tcPr>
          <w:p>
            <w:r>
              <w:rPr>
                <w:b w:val="false"/>
                <w:bCs w:val="false"/>
                <w:sz w:val="18"/>
                <w:szCs w:val="18"/>
              </w:rPr>
              <w:t xml:space="preserve">Evidencia documental de programas de capacitación</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39 Bis 1 RCG</w:t>
            </w:r>
          </w:p>
        </w:tc>
      </w:tr>
      <w:tr>
        <w:tc>
          <w:tcPr>
            <w:tcW w:type="dxa" w:w="4400"/>
            <w:tcMar>
              <w:top w:type="dxa" w:w="70"/>
              <w:left w:type="dxa" w:w="100"/>
              <w:bottom w:type="dxa" w:w="70"/>
              <w:right w:type="dxa" w:w="100"/>
            </w:tcMar>
          </w:tcPr>
          <w:p>
            <w:r>
              <w:rPr>
                <w:b w:val="false"/>
                <w:bCs w:val="false"/>
                <w:sz w:val="18"/>
                <w:szCs w:val="18"/>
              </w:rPr>
              <w:t xml:space="preserve">Historial de Grado de Riesgo y Perfil Transaccional</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41 fr. IV RCG</w:t>
            </w:r>
          </w:p>
        </w:tc>
      </w:tr>
      <w:tr>
        <w:tc>
          <w:tcPr>
            <w:tcW w:type="dxa" w:w="4400"/>
            <w:tcMar>
              <w:top w:type="dxa" w:w="70"/>
              <w:left w:type="dxa" w:w="100"/>
              <w:bottom w:type="dxa" w:w="70"/>
              <w:right w:type="dxa" w:w="100"/>
            </w:tcMar>
          </w:tcPr>
          <w:p>
            <w:r>
              <w:rPr>
                <w:b w:val="false"/>
                <w:bCs w:val="false"/>
                <w:sz w:val="18"/>
                <w:szCs w:val="18"/>
              </w:rPr>
              <w:t xml:space="preserve">Dictamen de auditoría y evidencia que lo sustenta</w:t>
            </w:r>
          </w:p>
        </w:tc>
        <w:tc>
          <w:tcPr>
            <w:tcW w:type="dxa" w:w="2600"/>
            <w:tcMar>
              <w:top w:type="dxa" w:w="70"/>
              <w:left w:type="dxa" w:w="100"/>
              <w:bottom w:type="dxa" w:w="70"/>
              <w:right w:type="dxa" w:w="100"/>
            </w:tcMar>
          </w:tcPr>
          <w:p>
            <w:r>
              <w:rPr>
                <w:b w:val="false"/>
                <w:bCs w:val="false"/>
                <w:sz w:val="18"/>
                <w:szCs w:val="18"/>
              </w:rPr>
              <w:t xml:space="preserve">5 años</w:t>
            </w:r>
          </w:p>
        </w:tc>
        <w:tc>
          <w:tcPr>
            <w:tcW w:type="dxa" w:w="2600"/>
            <w:tcMar>
              <w:top w:type="dxa" w:w="70"/>
              <w:left w:type="dxa" w:w="100"/>
              <w:bottom w:type="dxa" w:w="70"/>
              <w:right w:type="dxa" w:w="100"/>
            </w:tcMar>
          </w:tcPr>
          <w:p>
            <w:r>
              <w:rPr>
                <w:b w:val="false"/>
                <w:bCs w:val="false"/>
                <w:sz w:val="18"/>
                <w:szCs w:val="18"/>
              </w:rPr>
              <w:t xml:space="preserve">Art. 51 RCG</w:t>
            </w:r>
          </w:p>
        </w:tc>
      </w:tr>
    </w:tbl>
    <w:p>
      <w:pPr>
        <w:spacing w:after="160" w:before="60"/>
      </w:pPr>
      <w:r>
        <w:rPr>
          <w:i/>
          <w:iCs/>
          <w:color w:val="666666"/>
          <w:sz w:val="19"/>
          <w:szCs w:val="19"/>
        </w:rPr>
        <w:t xml:space="preserve">Ver Documento D10 — Política de Resguardo Documental.</w:t>
      </w:r>
    </w:p>
    <w:p>
      <w:pPr>
        <w:keepNext/>
        <w:spacing w:after="80" w:before="160"/>
      </w:pPr>
      <w:r>
        <w:rPr>
          <w:b/>
          <w:bCs/>
          <w:color w:val="B08D57"/>
          <w:sz w:val="21"/>
          <w:szCs w:val="21"/>
        </w:rPr>
        <w:t xml:space="preserve">14.1 Integridad, acceso, respaldo y recuperación (Art. 37 Bis, fr. VII, RCG)</w:t>
      </w:r>
    </w:p>
    <w:p>
      <w:pPr>
        <w:pStyle w:val="ListParagraph"/>
        <w:numPr>
          <w:ilvl w:val="0"/>
          <w:numId w:val="1"/>
        </w:numPr>
        <w:spacing w:after="60"/>
      </w:pPr>
      <w:r>
        <w:rPr>
          <w:sz w:val="20"/>
          <w:szCs w:val="20"/>
        </w:rPr>
        <w:t xml:space="preserve">Cada Cliente o Usuaria tiene un expediente único (físico, digital o mixto) con un índice de su contenido; los documentos digitalizados conservan su legibilidad y, cuando proceda, se resguarda el original.</w:t>
      </w:r>
    </w:p>
    <w:p>
      <w:pPr>
        <w:pStyle w:val="ListParagraph"/>
        <w:numPr>
          <w:ilvl w:val="0"/>
          <w:numId w:val="1"/>
        </w:numPr>
        <w:spacing w:after="60"/>
      </w:pPr>
      <w:r>
        <w:rPr>
          <w:sz w:val="20"/>
          <w:szCs w:val="20"/>
        </w:rPr>
        <w:t xml:space="preserve">Integridad: los registros no se alteran; las correcciones se hacen mediante una nueva versión fechada que conserva la anterior.</w:t>
      </w:r>
    </w:p>
    <w:p>
      <w:pPr>
        <w:pStyle w:val="ListParagraph"/>
        <w:numPr>
          <w:ilvl w:val="0"/>
          <w:numId w:val="1"/>
        </w:numPr>
        <w:spacing w:after="60"/>
      </w:pPr>
      <w:r>
        <w:rPr>
          <w:sz w:val="20"/>
          <w:szCs w:val="20"/>
        </w:rPr>
        <w:t xml:space="preserve">Acceso: restringido a las personas autorizadas en la sección de protección de datos de este Manual y al auditor.</w:t>
      </w:r>
    </w:p>
    <w:p>
      <w:pPr>
        <w:pStyle w:val="ListParagraph"/>
        <w:numPr>
          <w:ilvl w:val="0"/>
          <w:numId w:val="1"/>
        </w:numPr>
        <w:spacing w:after="60"/>
      </w:pPr>
      <w:r>
        <w:rPr>
          <w:sz w:val="20"/>
          <w:szCs w:val="20"/>
        </w:rPr>
        <w:t xml:space="preserve">Respaldo y recuperación: respaldo de la información digital al menos una vez por semana en una ubicación distinta de la principal y prueba anual de recuperación, documentada (criterio del Programa).</w:t>
      </w:r>
    </w:p>
    <w:p>
      <w:pPr>
        <w:pStyle w:val="ListParagraph"/>
        <w:numPr>
          <w:ilvl w:val="0"/>
          <w:numId w:val="1"/>
        </w:numPr>
        <w:spacing w:after="60"/>
      </w:pPr>
      <w:r>
        <w:rPr>
          <w:sz w:val="20"/>
          <w:szCs w:val="20"/>
        </w:rPr>
        <w:t xml:space="preserve">Plazos y lugar de conservación: conforme al Documento D10.</w:t>
      </w:r>
    </w:p>
    <w:p>
      <w:pPr>
        <w:pStyle w:val="Heading2"/>
        <w:spacing w:after="120" w:before="320"/>
      </w:pPr>
      <w:r>
        <w:t xml:space="preserve">Capítulo 15. Identificación de personas en listas de autoridades</w:t>
      </w:r>
    </w:p>
    <w:p>
      <w:pPr>
        <w:spacing w:after="120"/>
      </w:pPr>
      <w:r>
        <w:rPr>
          <w:sz w:val="20"/>
          <w:szCs w:val="20"/>
        </w:rPr>
        <w:t xml:space="preserve">La empresa incorpora en sus procedimientos internos los mecanismos necesarios para identificar a las personas incluidas en las listas que, para efectos de prevención, dé a conocer la UIF, emitidas por autoridades nacionales o por organismos internacionales reconocidos por instrumentos de los que México sea parte (Art. 38 RCG), con el fin de evitar el uso de recursos para el financiamiento de organizaciones delictivas u otras actividades ilícitas.</w:t>
      </w:r>
    </w:p>
    <w:p>
      <w:pPr>
        <w:keepNext/>
        <w:spacing w:after="80" w:before="160"/>
      </w:pPr>
      <w:r>
        <w:rPr>
          <w:b/>
          <w:bCs/>
          <w:color w:val="B08D57"/>
          <w:sz w:val="21"/>
          <w:szCs w:val="21"/>
        </w:rPr>
        <w:t xml:space="preserve">15.1 Procedimiento de consulta de listas (Art. 37 Bis, fr. IX, RCG)</w:t>
      </w:r>
    </w:p>
    <w:p>
      <w:pPr>
        <w:pStyle w:val="ListParagraph"/>
        <w:numPr>
          <w:ilvl w:val="0"/>
          <w:numId w:val="1"/>
        </w:numPr>
        <w:spacing w:after="60"/>
      </w:pPr>
      <w:r>
        <w:rPr>
          <w:sz w:val="20"/>
          <w:szCs w:val="20"/>
        </w:rPr>
        <w:t xml:space="preserve">Fuentes: (i) las listas que dé a conocer la UIF conforme al Art. 38 RCG, emitidas por autoridades nacionales u organismos internacionales; (ii) las listas de sanciones del Consejo de Seguridad de la ONU; y (iii) como buena práctica, otras listas internacionales reconocidas (p. ej., OFAC) y noticias negativas en fuentes públicas.</w:t>
      </w:r>
    </w:p>
    <w:p>
      <w:pPr>
        <w:pStyle w:val="ListParagraph"/>
        <w:numPr>
          <w:ilvl w:val="0"/>
          <w:numId w:val="1"/>
        </w:numPr>
        <w:spacing w:after="60"/>
      </w:pPr>
      <w:r>
        <w:rPr>
          <w:sz w:val="20"/>
          <w:szCs w:val="20"/>
        </w:rPr>
        <w:t xml:space="preserve">Personas consultadas: el Cliente o Usuaria, su Beneficiario Controlador, sus representantes o apoderados y, en clientes de Riesgo alto, las personas vinculadas recabadas conforme a las medidas reforzadas.</w:t>
      </w:r>
    </w:p>
    <w:p>
      <w:pPr>
        <w:pStyle w:val="ListParagraph"/>
        <w:numPr>
          <w:ilvl w:val="0"/>
          <w:numId w:val="1"/>
        </w:numPr>
        <w:spacing w:after="60"/>
      </w:pPr>
      <w:r>
        <w:rPr>
          <w:sz w:val="20"/>
          <w:szCs w:val="20"/>
        </w:rPr>
        <w:t xml:space="preserve">Frecuencia: antes de cada acto u operación y, para la cartera con relación de negocios vigente, cada vez que se actualicen las listas y, en todo caso, en la reevaluación semestral del Grado de Riesgo.</w:t>
      </w:r>
    </w:p>
    <w:p>
      <w:pPr>
        <w:pStyle w:val="ListParagraph"/>
        <w:numPr>
          <w:ilvl w:val="0"/>
          <w:numId w:val="1"/>
        </w:numPr>
        <w:spacing w:after="60"/>
      </w:pPr>
      <w:r>
        <w:rPr>
          <w:sz w:val="20"/>
          <w:szCs w:val="20"/>
        </w:rPr>
        <w:t xml:space="preserve">Tratamiento de coincidencias: si la coincidencia es parcial o puede ser un homónimo, se verifica con la fecha de nacimiento, la CURP o el RFC y la nacionalidad. Si se descarta, se documenta como falso positivo. Si se confirma, se abstiene de realizar el acto u operación, presenta el Aviso dentro de las 24 horas (Art. 27 en relación con los Arts. 26 Bis y 26 Bis 1 RCG) y no alerta al cliente (Capítulo 20).</w:t>
      </w:r>
    </w:p>
    <w:p>
      <w:pPr>
        <w:pStyle w:val="ListParagraph"/>
        <w:numPr>
          <w:ilvl w:val="0"/>
          <w:numId w:val="1"/>
        </w:numPr>
        <w:spacing w:after="60"/>
      </w:pPr>
      <w:r>
        <w:rPr>
          <w:sz w:val="20"/>
          <w:szCs w:val="20"/>
        </w:rPr>
        <w:t xml:space="preserve">Evidencia: constancia de cada consulta con fecha, fuente, persona consultada, resultado y quién la realizó, integrada al expediente.</w:t>
      </w:r>
    </w:p>
    <w:p>
      <w:pPr>
        <w:pStyle w:val="ListParagraph"/>
        <w:numPr>
          <w:ilvl w:val="0"/>
          <w:numId w:val="1"/>
        </w:numPr>
        <w:spacing w:after="60"/>
      </w:pPr>
      <w:r>
        <w:rPr>
          <w:sz w:val="20"/>
          <w:szCs w:val="20"/>
        </w:rPr>
        <w:t xml:space="preserve">Verificación de funcionamiento: cada seis meses se prueba la herramienta o el procedimiento con un nombre de control incluido en las listas, para comprobar que lo detecta, y se verifica que las listas utilizadas sean las vigentes; el resultado se documenta (criterio del Programa).</w:t>
      </w:r>
    </w:p>
    <w:p>
      <w:pPr>
        <w:pStyle w:val="Heading2"/>
        <w:spacing w:after="120" w:before="320"/>
      </w:pPr>
      <w:r>
        <w:t xml:space="preserve">Capítulo 16. Criterios para apertura, limitación y terminación de relaciones comerciales</w:t>
      </w:r>
    </w:p>
    <w:p>
      <w:pPr>
        <w:spacing w:after="120"/>
      </w:pPr>
      <w:r>
        <w:rPr>
          <w:sz w:val="20"/>
          <w:szCs w:val="20"/>
        </w:rPr>
        <w:t xml:space="preserve">En congruencia con la metodología EBR (Art. 37, tercer párrafo, RCG), la empresa no iniciará o dará por terminada una Relación de negocios cuando: (i) el cliente se niegue a proporcionar la información o documentación necesaria para integrar su expediente de identificación; (ii) el Grado de Riesgo resultante sea inaceptable conforme a los criterios definidos en el Documento D6; o (iii) se detecten señales de alerta que no puedan ser razonablemente aclaradas por el cliente. Toda limitación o terminación deberá documentarse y conservarse en el expediente respectivo.</w:t>
      </w:r>
    </w:p>
    <w:p>
      <w:pPr>
        <w:pStyle w:val="Heading2"/>
        <w:spacing w:after="120" w:before="320"/>
      </w:pPr>
      <w:r>
        <w:t xml:space="preserve">Capítulo 17. Capacitación y selección del personal</w:t>
      </w:r>
    </w:p>
    <w:p>
      <w:pPr>
        <w:spacing w:after="120"/>
      </w:pPr>
      <w:r>
        <w:rPr>
          <w:sz w:val="20"/>
          <w:szCs w:val="20"/>
        </w:rPr>
        <w:t xml:space="preserve">La empresa implementará el Programa Anual de Capacitación Certus PLD (Documento D11), dirigido a los miembros del órgano de administración, al Representante Encargado de Cumplimiento y a todo el personal que atienda al público, participe en la identificación de clientes, en el envío de Avisos o en labores de auditoría (Art. 39 Bis RCG). El temario mínimo incluye: la Ley, el Reglamento, las RCG y este Manual; los actos u operaciones del Art. 17 de la Ley; y los Riesgos a los que está expuesta la empresa. Quien imparta la capacitación deberá acreditar cuando menos cinco años de experiencia en la materia.</w:t>
      </w:r>
    </w:p>
    <w:p>
      <w:pPr>
        <w:spacing w:after="120"/>
      </w:pPr>
      <w:r>
        <w:rPr>
          <w:sz w:val="20"/>
          <w:szCs w:val="20"/>
        </w:rPr>
        <w:t xml:space="preserve">Al finalizar cada curso se aplicará una evaluación de conocimientos; para quienes no obtengan resultados satisfactorios, la empresa aplicará las medidas de la sección 17.1. El personal que vaya a laborar en áreas de atención al público o de administración de recursos recibirá capacitación de manera previa o simultánea a su ingreso. El primer periodo de capacitación obligatorio bajo este esquema corre del 1 de enero al 31 de diciembre de 2027, y la evidencia respectiva se conserva por 10 años.</w:t>
      </w:r>
    </w:p>
    <w:p>
      <w:pPr>
        <w:spacing w:after="160" w:before="60"/>
      </w:pPr>
      <w:r>
        <w:rPr>
          <w:i/>
          <w:iCs/>
          <w:color w:val="666666"/>
          <w:sz w:val="19"/>
          <w:szCs w:val="19"/>
        </w:rPr>
        <w:t xml:space="preserve">Ver Documentos D11, D11B, D11C y D11D (Declaración de Selección de Personal, Capítulo 3.2).</w:t>
      </w:r>
    </w:p>
    <w:p>
      <w:pPr>
        <w:keepNext/>
        <w:spacing w:after="80" w:before="160"/>
      </w:pPr>
      <w:r>
        <w:rPr>
          <w:b/>
          <w:bCs/>
          <w:color w:val="B08D57"/>
          <w:sz w:val="21"/>
          <w:szCs w:val="21"/>
        </w:rPr>
        <w:t xml:space="preserve">17.1 Evaluación y medidas ante resultados no satisfactorios (Art. 39 Bis 1 RCG)</w:t>
      </w:r>
    </w:p>
    <w:p>
      <w:pPr>
        <w:pStyle w:val="ListParagraph"/>
        <w:numPr>
          <w:ilvl w:val="0"/>
          <w:numId w:val="1"/>
        </w:numPr>
        <w:spacing w:after="60"/>
      </w:pPr>
      <w:r>
        <w:rPr>
          <w:sz w:val="20"/>
          <w:szCs w:val="20"/>
        </w:rPr>
        <w:t xml:space="preserve">Al concluir cada curso, los participantes presentan la evaluación de conocimientos del Documento D11C; la calificación mínima aprobatoria es la que fija ese documento (aproximadamente 70 %). La constancia de participación solo se expide a quien aprueba.</w:t>
      </w:r>
    </w:p>
    <w:p>
      <w:pPr>
        <w:pStyle w:val="ListParagraph"/>
        <w:numPr>
          <w:ilvl w:val="0"/>
          <w:numId w:val="1"/>
        </w:numPr>
        <w:spacing w:after="60"/>
      </w:pPr>
      <w:r>
        <w:rPr>
          <w:sz w:val="20"/>
          <w:szCs w:val="20"/>
        </w:rPr>
        <w:t xml:space="preserve">Primera reprobación: capacitación remedial dentro de los quince días hábiles siguientes y nueva evaluación.</w:t>
      </w:r>
    </w:p>
    <w:p>
      <w:pPr>
        <w:pStyle w:val="ListParagraph"/>
        <w:numPr>
          <w:ilvl w:val="0"/>
          <w:numId w:val="1"/>
        </w:numPr>
        <w:spacing w:after="60"/>
      </w:pPr>
      <w:r>
        <w:rPr>
          <w:sz w:val="20"/>
          <w:szCs w:val="20"/>
        </w:rPr>
        <w:t xml:space="preserve">Segunda reprobación: la persona se retira temporalmente de las funciones de atención al público, identificación de clientes, envío de Avisos o administración de recursos hasta que acredite la evaluación; mientras tanto, actúa bajo supervisión directa.</w:t>
      </w:r>
    </w:p>
    <w:p>
      <w:pPr>
        <w:pStyle w:val="ListParagraph"/>
        <w:numPr>
          <w:ilvl w:val="0"/>
          <w:numId w:val="1"/>
        </w:numPr>
        <w:spacing w:after="60"/>
      </w:pPr>
      <w:r>
        <w:rPr>
          <w:sz w:val="20"/>
          <w:szCs w:val="20"/>
        </w:rPr>
        <w:t xml:space="preserve">Reincidencia o negativa injustificada a capacitarse: se aplican las medidas disciplinarias previstas en el reglamento interior de trabajo o en el contrato respectivo, conforme a la legislación laboral.</w:t>
      </w:r>
    </w:p>
    <w:p>
      <w:pPr>
        <w:pStyle w:val="ListParagraph"/>
        <w:numPr>
          <w:ilvl w:val="0"/>
          <w:numId w:val="1"/>
        </w:numPr>
        <w:spacing w:after="60"/>
      </w:pPr>
      <w:r>
        <w:rPr>
          <w:sz w:val="20"/>
          <w:szCs w:val="20"/>
        </w:rPr>
        <w:t xml:space="preserve">El personal que ingrese a áreas de atención al público o de administración de recursos se capacita antes de iniciar funciones o al mismo tiempo (Art. 39 Bis 1, tercer párrafo). Las evaluaciones, constancias, listas de asistencia y medidas aplicadas se conservan por diez años (Documento D11).</w:t>
      </w:r>
    </w:p>
    <w:p>
      <w:pPr>
        <w:pStyle w:val="Heading2"/>
        <w:spacing w:after="120" w:before="320"/>
      </w:pPr>
      <w:r>
        <w:t xml:space="preserve">Capítulo 18. Mecanismos automatizados</w:t>
      </w:r>
    </w:p>
    <w:p>
      <w:pPr>
        <w:spacing w:after="120"/>
      </w:pPr>
      <w:r>
        <w:rPr>
          <w:sz w:val="20"/>
          <w:szCs w:val="20"/>
        </w:rPr>
        <w:t xml:space="preserve">Conforme al Art. 41 de las RCG, la empresa deberá contar, a más tardar el 1 de junio de 2027, con mecanismos automatizados —adecuados a su volumen, naturaleza y Riesgo— que permitan: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Estos mecanismos deberán contener información de los actos u operaciones realizados a partir de esa fecha.</w:t>
      </w:r>
    </w:p>
    <w:p>
      <w:pPr>
        <w:pStyle w:val="Heading2"/>
        <w:spacing w:after="120" w:before="320"/>
      </w:pPr>
      <w:r>
        <w:t xml:space="preserve">Capítulo 19. Auditoría anual</w:t>
      </w:r>
    </w:p>
    <w:p>
      <w:pPr>
        <w:spacing w:after="120"/>
      </w:pPr>
      <w:r>
        <w:rPr>
          <w:sz w:val="20"/>
          <w:szCs w:val="20"/>
        </w:rPr>
        <w:t xml:space="preserve">La empresa contará con una auditoría anual —obligatoria conforme al Capítulo XIV de las RCG (Art. 42 a 51)— que evalúe y dictamine la efectividad del cumplimiento de la Ley, su Reglamento y las RCG, del 1 de enero al 31 de diciembre de cada año. El primer periodo auditado bajo esta obligación corre de enero a diciembre de 2028, y el dictamen deberá entregarse a más tardar el último día hábil de marzo del año siguiente.</w:t>
      </w:r>
    </w:p>
    <w:p>
      <w:pPr>
        <w:spacing w:after="120"/>
      </w:pPr>
      <w:r>
        <w:rPr>
          <w:sz w:val="20"/>
          <w:szCs w:val="20"/>
        </w:rPr>
        <w:t xml:space="preserve">Cuando el Riesgo de la empresa sea bajo o medio conforme a la evaluación de la sección 5.1, la auditoría podrá ser realizada por un área de auditoría interna independiente del Representante Encargado de Cumplimiento. Cuando el Riesgo sea alto, o la empresa así lo decida, la auditoría deberá realizarla una persona auditora externa independiente que cuente con título profesional y cédula en derecho, contaduría, finanzas, administración o informática, al menos tres años de experiencia en la materia, y certificación vigente de la UIF.</w:t>
      </w:r>
    </w:p>
    <w:p>
      <w:pPr>
        <w:spacing w:after="120"/>
      </w:pPr>
      <w:r>
        <w:rPr>
          <w:sz w:val="20"/>
          <w:szCs w:val="20"/>
        </w:rPr>
        <w:t xml:space="preserve">El dictamen se estructura en siete secciones (presentación, objeto, volumen y muestreo, proceso de auditoría, hallazgos, resultados de cumplimiento, y acciones correctivas) y califica cada obligación evaluada en una de cinco categorías: Cumple, Cumple mayoritariamente, Cumple parcialmente, No cumple, o No aplica.</w:t>
      </w:r>
    </w:p>
    <w:p>
      <w:pPr>
        <w:spacing w:after="160" w:before="60"/>
      </w:pPr>
      <w:r>
        <w:rPr>
          <w:i/>
          <w:iCs/>
          <w:color w:val="666666"/>
          <w:sz w:val="19"/>
          <w:szCs w:val="19"/>
        </w:rPr>
        <w:t xml:space="preserve">Ver Documento D13 — Informe de Auditoría PLD.</w:t>
      </w:r>
    </w:p>
    <w:p>
      <w:pPr>
        <w:keepNext/>
        <w:spacing w:after="80" w:before="160"/>
      </w:pPr>
      <w:r>
        <w:rPr>
          <w:b/>
          <w:bCs/>
          <w:color w:val="B08D57"/>
          <w:sz w:val="21"/>
          <w:szCs w:val="21"/>
        </w:rPr>
        <w:t xml:space="preserve">19.1 Control interno y supervisión continua (Art. 37 Bis, fr. XII, RCG)</w:t>
      </w:r>
    </w:p>
    <w:p>
      <w:pPr>
        <w:spacing w:after="120"/>
      </w:pPr>
      <w:r>
        <w:rPr>
          <w:sz w:val="20"/>
          <w:szCs w:val="20"/>
        </w:rPr>
        <w:t xml:space="preserve">Además de la auditoría anual, se aplican los siguientes controles:</w:t>
      </w:r>
    </w:p>
    <w:p>
      <w:pPr>
        <w:pStyle w:val="ListParagraph"/>
        <w:numPr>
          <w:ilvl w:val="0"/>
          <w:numId w:val="1"/>
        </w:numPr>
        <w:spacing w:after="60"/>
      </w:pPr>
      <w:r>
        <w:rPr>
          <w:sz w:val="20"/>
          <w:szCs w:val="20"/>
        </w:rPr>
        <w:t xml:space="preserve">Control preventivo: antes de formalizar cada acto u operación, el Representante Encargado de Cumplimiento — o la persona que designe — verifica con una lista de control que el expediente esté completo, el Grado de Riesgo asignado, las listas y la calidad de PEP consultadas, la forma de pago documentada y, en su caso, la aprobación o constancia de PEP de Riesgo alto.</w:t>
      </w:r>
    </w:p>
    <w:p>
      <w:pPr>
        <w:pStyle w:val="ListParagraph"/>
        <w:numPr>
          <w:ilvl w:val="0"/>
          <w:numId w:val="1"/>
        </w:numPr>
        <w:spacing w:after="60"/>
      </w:pPr>
      <w:r>
        <w:rPr>
          <w:sz w:val="20"/>
          <w:szCs w:val="20"/>
        </w:rPr>
        <w:t xml:space="preserve">Control de detección mensual: conciliación de actos u operaciones, Avisos e informes y acuses (Documento D12); revisión de las alertas abiertas y de los Grados de Riesgo con reevaluación vencida.</w:t>
      </w:r>
    </w:p>
    <w:p>
      <w:pPr>
        <w:pStyle w:val="ListParagraph"/>
        <w:numPr>
          <w:ilvl w:val="0"/>
          <w:numId w:val="1"/>
        </w:numPr>
        <w:spacing w:after="60"/>
      </w:pPr>
      <w:r>
        <w:rPr>
          <w:sz w:val="20"/>
          <w:szCs w:val="20"/>
        </w:rPr>
        <w:t xml:space="preserve">Revisión trimestral: muestra de al menos el 10 % de los expedientes del trimestre (mínimo cinco), revisada por una persona distinta de quien integró los expedientes, con hallazgos y acciones correctivas (criterio del Programa).</w:t>
      </w:r>
    </w:p>
    <w:p>
      <w:pPr>
        <w:pStyle w:val="ListParagraph"/>
        <w:numPr>
          <w:ilvl w:val="0"/>
          <w:numId w:val="1"/>
        </w:numPr>
        <w:spacing w:after="60"/>
      </w:pPr>
      <w:r>
        <w:rPr>
          <w:sz w:val="20"/>
          <w:szCs w:val="20"/>
        </w:rPr>
        <w:t xml:space="preserve">Indicadores: porcentaje de expedientes completos, Avisos presentados en plazo, alertas atendidas en plazo y personal capacitado y acreditado.</w:t>
      </w:r>
    </w:p>
    <w:p>
      <w:pPr>
        <w:pStyle w:val="ListParagraph"/>
        <w:numPr>
          <w:ilvl w:val="0"/>
          <w:numId w:val="1"/>
        </w:numPr>
        <w:spacing w:after="60"/>
      </w:pPr>
      <w:r>
        <w:rPr>
          <w:sz w:val="20"/>
          <w:szCs w:val="20"/>
        </w:rPr>
        <w:t xml:space="preserve">Informe: el Representante Encargado de Cumplimiento documenta semestralmente los resultados, hallazgos y acciones correctivas con responsable y fecha y los presenta al órgano de administración; el auditor revisa su seguimiento en la auditoría anual.</w:t>
      </w:r>
    </w:p>
    <w:p>
      <w:pPr>
        <w:pStyle w:val="Heading2"/>
        <w:spacing w:after="120" w:before="320"/>
      </w:pPr>
      <w:r>
        <w:t xml:space="preserve">Capítulo 20. Confidencialidad</w:t>
      </w:r>
    </w:p>
    <w:p>
      <w:pPr>
        <w:spacing w:after="120"/>
      </w:pPr>
      <w:r>
        <w:rPr>
          <w:sz w:val="20"/>
          <w:szCs w:val="20"/>
        </w:rPr>
        <w:t xml:space="preserve">Todo el personal de la empresa, sus directivos, funcionarios, el Representante Encargado de Cumplimiento, empleados y apoderados deberán mantener absoluta confidencialidad sobre la información, documentación y actos u operaciones relacionados con las Actividades Vulnerables, incluida la relativa al Beneficiario Controlador y a los Avisos presentados, salvo cuando la solicite la UIF, el SAT u otra autoridad facultada (Art. 31 RCG). Queda prohibido alertar al cliente o a terceros sobre cualquier referencia hecha en un Aviso, sobre requerimientos de información recibidos, o sobre la existencia de órdenes de aseguramiento antes de su ejecución. Explicar al cliente las obligaciones que derivan de la Ley no constituye violación a este deber.</w:t>
      </w:r>
    </w:p>
    <w:p>
      <w:pPr>
        <w:keepNext/>
        <w:spacing w:after="80" w:before="160"/>
      </w:pPr>
      <w:r>
        <w:rPr>
          <w:b/>
          <w:bCs/>
          <w:color w:val="B08D57"/>
          <w:sz w:val="21"/>
          <w:szCs w:val="21"/>
        </w:rPr>
        <w:t xml:space="preserve">20.1 Protección de datos personales (Art. 37 Bis, fr. XIII, RCG)</w:t>
      </w:r>
    </w:p>
    <w:p>
      <w:pPr>
        <w:pStyle w:val="ListParagraph"/>
        <w:numPr>
          <w:ilvl w:val="0"/>
          <w:numId w:val="1"/>
        </w:numPr>
        <w:spacing w:after="60"/>
      </w:pPr>
      <w:r>
        <w:rPr>
          <w:sz w:val="20"/>
          <w:szCs w:val="20"/>
        </w:rPr>
        <w:t xml:space="preserve">Los datos personales de Clientes o Usuarias, Beneficiarios Controladores, personas vinculadas y personal se tratan conforme a la Ley Federal de Protección de Datos Personales en Posesión de los Particulares (DOF 20/03/2025), con la finalidad de cumplir las obligaciones de la Ley, su Reglamento y las RCG.</w:t>
      </w:r>
    </w:p>
    <w:p>
      <w:pPr>
        <w:pStyle w:val="ListParagraph"/>
        <w:numPr>
          <w:ilvl w:val="0"/>
          <w:numId w:val="1"/>
        </w:numPr>
        <w:spacing w:after="60"/>
      </w:pPr>
      <w:r>
        <w:rPr>
          <w:sz w:val="20"/>
          <w:szCs w:val="20"/>
        </w:rPr>
        <w:t xml:space="preserve">El aviso de privacidad informa esa finalidad, la transferencia de datos a la UIF, al SAT y a las autoridades facultadas, y el plazo de conservación de diez años. El tratamiento que deriva de una obligación legal no requiere consentimiento en los términos de esa legislación.</w:t>
      </w:r>
    </w:p>
    <w:p>
      <w:pPr>
        <w:pStyle w:val="ListParagraph"/>
        <w:numPr>
          <w:ilvl w:val="0"/>
          <w:numId w:val="1"/>
        </w:numPr>
        <w:spacing w:after="60"/>
      </w:pPr>
      <w:r>
        <w:rPr>
          <w:sz w:val="20"/>
          <w:szCs w:val="20"/>
        </w:rPr>
        <w:t xml:space="preserve">Acceso restringido a expedientes, Avisos y alertas: únicamente el Representante Encargado de Cumplimiento, [PERSONAS AUTORIZADAS] y el auditor. En sistemas digitales se usan credenciales individuales y bitácora de accesos; el archivo físico se resguarda bajo llave.</w:t>
      </w:r>
    </w:p>
    <w:p>
      <w:pPr>
        <w:pStyle w:val="ListParagraph"/>
        <w:numPr>
          <w:ilvl w:val="0"/>
          <w:numId w:val="1"/>
        </w:numPr>
        <w:spacing w:after="60"/>
      </w:pPr>
      <w:r>
        <w:rPr>
          <w:sz w:val="20"/>
          <w:szCs w:val="20"/>
        </w:rPr>
        <w:t xml:space="preserve">Medidas de seguridad administrativas, físicas y técnicas: contraseñas robustas, cifrado o resguardo seguro de respaldos y destrucción segura al vencer los plazos (Documento D10).</w:t>
      </w:r>
    </w:p>
    <w:p>
      <w:pPr>
        <w:pStyle w:val="ListParagraph"/>
        <w:numPr>
          <w:ilvl w:val="0"/>
          <w:numId w:val="1"/>
        </w:numPr>
        <w:spacing w:after="60"/>
      </w:pPr>
      <w:r>
        <w:rPr>
          <w:sz w:val="20"/>
          <w:szCs w:val="20"/>
        </w:rPr>
        <w:t xml:space="preserve">Todo el personal con acceso firma un convenio de confidencialidad que incluye la prohibición de alertar al cliente o a terceros sobre Avisos y requerimientos.</w:t>
      </w:r>
    </w:p>
    <w:p>
      <w:pPr>
        <w:pStyle w:val="ListParagraph"/>
        <w:numPr>
          <w:ilvl w:val="0"/>
          <w:numId w:val="1"/>
        </w:numPr>
        <w:spacing w:after="60"/>
      </w:pPr>
      <w:r>
        <w:rPr>
          <w:sz w:val="20"/>
          <w:szCs w:val="20"/>
        </w:rPr>
        <w:t xml:space="preserve">Derechos ARCO: se atienden conforme a la legislación aplicable. La cancelación u oposición no procede respecto de los datos que deban conservarse por disposición legal, y la respuesta nunca revela la existencia de Avisos o requerimientos.</w:t>
      </w:r>
    </w:p>
    <w:p>
      <w:pPr>
        <w:pStyle w:val="ListParagraph"/>
        <w:numPr>
          <w:ilvl w:val="0"/>
          <w:numId w:val="1"/>
        </w:numPr>
        <w:spacing w:after="60"/>
      </w:pPr>
      <w:r>
        <w:rPr>
          <w:sz w:val="20"/>
          <w:szCs w:val="20"/>
        </w:rPr>
        <w:t xml:space="preserve">Incidentes: toda vulneración de seguridad se reporta de inmediato al Representante Encargado de Cumplimiento, se documenta y se atiende conforme a la legislación de protección de datos.</w:t>
      </w:r>
    </w:p>
    <w:p>
      <w:pPr>
        <w:pStyle w:val="Heading2"/>
        <w:spacing w:after="120" w:before="320"/>
      </w:pPr>
      <w:r>
        <w:t xml:space="preserve">Capítulo 21. Sanciones aplicables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00"/>
            <w:shd w:fill="1F3864" w:val="clear"/>
            <w:tcMar>
              <w:top w:type="dxa" w:w="70"/>
              <w:left w:type="dxa" w:w="100"/>
              <w:bottom w:type="dxa" w:w="70"/>
              <w:right w:type="dxa" w:w="100"/>
            </w:tcMar>
          </w:tcPr>
          <w:p>
            <w:r>
              <w:rPr>
                <w:b/>
                <w:bCs/>
                <w:color w:val="FFFFFF"/>
                <w:sz w:val="18"/>
                <w:szCs w:val="18"/>
              </w:rPr>
              <w:t xml:space="preserve">Infracción</w:t>
            </w:r>
          </w:p>
        </w:tc>
        <w:tc>
          <w:tcPr>
            <w:tcW w:type="dxa" w:w="2500"/>
            <w:shd w:fill="1F3864" w:val="clear"/>
            <w:tcMar>
              <w:top w:type="dxa" w:w="70"/>
              <w:left w:type="dxa" w:w="100"/>
              <w:bottom w:type="dxa" w:w="70"/>
              <w:right w:type="dxa" w:w="100"/>
            </w:tcMar>
          </w:tcPr>
          <w:p>
            <w:r>
              <w:rPr>
                <w:b/>
                <w:bCs/>
                <w:color w:val="FFFFFF"/>
                <w:sz w:val="18"/>
                <w:szCs w:val="18"/>
              </w:rPr>
              <w:t xml:space="preserve">Multa mínima estimada</w:t>
            </w:r>
          </w:p>
        </w:tc>
        <w:tc>
          <w:tcPr>
            <w:tcW w:type="dxa" w:w="2500"/>
            <w:shd w:fill="1F3864" w:val="clear"/>
            <w:tcMar>
              <w:top w:type="dxa" w:w="70"/>
              <w:left w:type="dxa" w:w="100"/>
              <w:bottom w:type="dxa" w:w="70"/>
              <w:right w:type="dxa" w:w="100"/>
            </w:tcMar>
          </w:tcPr>
          <w:p>
            <w:r>
              <w:rPr>
                <w:b/>
                <w:bCs/>
                <w:color w:val="FFFFFF"/>
                <w:sz w:val="18"/>
                <w:szCs w:val="18"/>
              </w:rPr>
              <w:t xml:space="preserve">Multa máxima estimada</w:t>
            </w:r>
          </w:p>
        </w:tc>
      </w:tr>
      <w:tr>
        <w:tc>
          <w:tcPr>
            <w:tcW w:type="dxa" w:w="4600"/>
            <w:tcMar>
              <w:top w:type="dxa" w:w="70"/>
              <w:left w:type="dxa" w:w="100"/>
              <w:bottom w:type="dxa" w:w="70"/>
              <w:right w:type="dxa" w:w="100"/>
            </w:tcMar>
          </w:tcPr>
          <w:p>
            <w:r>
              <w:rPr>
                <w:b w:val="false"/>
                <w:bCs w:val="false"/>
                <w:sz w:val="18"/>
                <w:szCs w:val="18"/>
              </w:rPr>
              <w:t xml:space="preserve">Omisión de registro ante SAT</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Falta de identificación del cliente</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Omisión de aviso mensual</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r>
        <w:tc>
          <w:tcPr>
            <w:tcW w:type="dxa" w:w="4600"/>
            <w:tcMar>
              <w:top w:type="dxa" w:w="70"/>
              <w:left w:type="dxa" w:w="100"/>
              <w:bottom w:type="dxa" w:w="70"/>
              <w:right w:type="dxa" w:w="100"/>
            </w:tcMar>
          </w:tcPr>
          <w:p>
            <w:r>
              <w:rPr>
                <w:b w:val="false"/>
                <w:bCs w:val="false"/>
                <w:sz w:val="18"/>
                <w:szCs w:val="18"/>
              </w:rPr>
              <w:t xml:space="preserve">Falta de capacitación</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Violación restricción de efectivo</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bl>
    <w:p>
      <w:pPr>
        <w:spacing w:after="160" w:before="60"/>
      </w:pPr>
      <w:r>
        <w:rPr>
          <w:i/>
          <w:iCs/>
          <w:color w:val="666666"/>
          <w:sz w:val="19"/>
          <w:szCs w:val="19"/>
        </w:rPr>
        <w:t xml:space="preserve">Fuente: Arts. 53 y 54 de la LFPIORPI (UMA 2026: $117.31). Incumplir las obligaciones del Art. 18, o presentar el Aviso extemporáneamente dentro de los 30 días siguientes al plazo: 200 a 2,000 UMA. Omitir Avisos o participar en actos prohibidos por el Art. 32: 10,000 a 65,000 UMA, o 10% a 100% del valor del acto, la que resulte mayor. Art. 55: beneficio de cumplimiento espontáneo. Actualizar los montos cada enero con la UMA vigente.</w:t>
      </w:r>
    </w:p>
    <w:p>
      <w:pPr>
        <w:pStyle w:val="Heading2"/>
        <w:spacing w:after="120" w:before="320"/>
      </w:pPr>
      <w:r>
        <w:t xml:space="preserve">Capítulo 22. Actualización del Manual</w:t>
      </w:r>
    </w:p>
    <w:p>
      <w:pPr>
        <w:spacing w:after="120"/>
      </w:pPr>
      <w:r>
        <w:rPr>
          <w:sz w:val="20"/>
          <w:szCs w:val="20"/>
        </w:rPr>
        <w:t xml:space="preserve">Este Manual será revisado y actualizado al menos una vez al año, cuando se publiquen reformas a la LFPIORPI, su Reglamento o las Reglas de Carácter General —como el Acuerdo 115/2026—, o cuando cambien las actividades de la empresa. Certus Consultores, a través del Programa Certus PLD, notificará al Representante Encargado de Cumplimiento toda actualización normativa relevante.</w:t>
      </w:r>
    </w:p>
    <w:p>
      <w:pPr>
        <w:keepNext/>
        <w:spacing w:after="80" w:before="160"/>
      </w:pPr>
      <w:r>
        <w:rPr>
          <w:b/>
          <w:bCs/>
          <w:color w:val="B08D57"/>
          <w:sz w:val="21"/>
          <w:szCs w:val="21"/>
        </w:rPr>
        <w:t xml:space="preserve">22.1 Responsable, aprobación, versiones y difusión (Art. 37 Bis, fr. XIV, RCG)</w:t>
      </w:r>
    </w:p>
    <w:p>
      <w:pPr>
        <w:pStyle w:val="ListParagraph"/>
        <w:numPr>
          <w:ilvl w:val="0"/>
          <w:numId w:val="1"/>
        </w:numPr>
        <w:spacing w:after="60"/>
      </w:pPr>
      <w:r>
        <w:rPr>
          <w:sz w:val="20"/>
          <w:szCs w:val="20"/>
        </w:rPr>
        <w:t xml:space="preserve">Responsable: el Representante Encargado de Cumplimiento propone y redacta las actualizaciones, con el apoyo de Certus Consultores.</w:t>
      </w:r>
    </w:p>
    <w:p>
      <w:pPr>
        <w:pStyle w:val="ListParagraph"/>
        <w:numPr>
          <w:ilvl w:val="0"/>
          <w:numId w:val="1"/>
        </w:numPr>
        <w:spacing w:after="60"/>
      </w:pPr>
      <w:r>
        <w:rPr>
          <w:sz w:val="20"/>
          <w:szCs w:val="20"/>
        </w:rPr>
        <w:t xml:space="preserve">Aprobación: el órgano de administración aprueba cada versión mediante acta o resolución; la versión rige desde su aprobación.</w:t>
      </w:r>
    </w:p>
    <w:p>
      <w:pPr>
        <w:pStyle w:val="ListParagraph"/>
        <w:numPr>
          <w:ilvl w:val="0"/>
          <w:numId w:val="1"/>
        </w:numPr>
        <w:spacing w:after="60"/>
      </w:pPr>
      <w:r>
        <w:rPr>
          <w:sz w:val="20"/>
          <w:szCs w:val="20"/>
        </w:rPr>
        <w:t xml:space="preserve">Control de versiones: el Anexo D registra el número de versión, la fecha de aprobación, los cambios y quién aprobó. Las versiones anteriores se conservan durante el plazo de conservación de este Manual.</w:t>
      </w:r>
    </w:p>
    <w:p>
      <w:pPr>
        <w:pStyle w:val="ListParagraph"/>
        <w:numPr>
          <w:ilvl w:val="0"/>
          <w:numId w:val="1"/>
        </w:numPr>
        <w:spacing w:after="60"/>
      </w:pPr>
      <w:r>
        <w:rPr>
          <w:sz w:val="20"/>
          <w:szCs w:val="20"/>
        </w:rPr>
        <w:t xml:space="preserve">Difusión: dentro de los diez días hábiles siguientes a la aprobación, la versión vigente se entrega al personal sujeto a capacitación, que firma el acuse de recepción del Anexo D. Su contenido forma parte de la capacitación anual (Art. 39 Bis, fr. I, inciso b), RCG).</w:t>
      </w:r>
    </w:p>
    <w:p>
      <w:pPr>
        <w:pStyle w:val="ListParagraph"/>
        <w:numPr>
          <w:ilvl w:val="0"/>
          <w:numId w:val="1"/>
        </w:numPr>
        <w:spacing w:after="60"/>
      </w:pPr>
      <w:r>
        <w:rPr>
          <w:sz w:val="20"/>
          <w:szCs w:val="20"/>
        </w:rPr>
        <w:t xml:space="preserve">Detonantes de actualización: revisión anual; reformas a la Ley, su Reglamento o las RCG; cambios en las actividades u operación (Anexo C); resultados de la metodología de evaluación de Riesgos (Art. 10 Septies 2); hallazgos de supervisión o auditoría; y requerimientos de la autoridad.</w:t>
      </w:r>
    </w:p>
    <w:p>
      <w:pPr>
        <w:pStyle w:val="ListParagraph"/>
        <w:numPr>
          <w:ilvl w:val="0"/>
          <w:numId w:val="1"/>
        </w:numPr>
        <w:spacing w:after="60"/>
      </w:pPr>
      <w:r>
        <w:rPr>
          <w:sz w:val="20"/>
          <w:szCs w:val="20"/>
        </w:rPr>
        <w:t xml:space="preserve">Modificaciones ordenadas por el SAT (Art. 37 Bis 3 RCG): el Representante Encargado de Cumplimiento registra el requerimiento, informa al órgano de administración dentro de los tres días hábiles siguientes, prepara la modificación del Manual o de los documentos señalados dentro del plazo que fije la autoridad, la somete a aprobación, la difunde y conserva la evidencia de su atención.</w:t>
      </w:r>
    </w:p>
    <w:p>
      <w:pPr>
        <w:pStyle w:val="Heading2"/>
        <w:spacing w:after="120" w:before="320"/>
      </w:pPr>
      <w:r>
        <w:t xml:space="preserve">Capítulo 23. Glosario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Mar>
              <w:top w:type="dxa" w:w="70"/>
              <w:left w:type="dxa" w:w="100"/>
              <w:bottom w:type="dxa" w:w="70"/>
              <w:right w:type="dxa" w:w="100"/>
            </w:tcMar>
          </w:tcPr>
          <w:p>
            <w:r>
              <w:rPr>
                <w:b/>
                <w:bCs/>
                <w:color w:val="FFFFFF"/>
                <w:sz w:val="18"/>
                <w:szCs w:val="18"/>
              </w:rPr>
              <w:t xml:space="preserve">Término</w:t>
            </w:r>
          </w:p>
        </w:tc>
        <w:tc>
          <w:tcPr>
            <w:tcW w:type="dxa" w:w="7200"/>
            <w:shd w:fill="1F3864" w:val="clear"/>
            <w:tcMar>
              <w:top w:type="dxa" w:w="70"/>
              <w:left w:type="dxa" w:w="100"/>
              <w:bottom w:type="dxa" w:w="70"/>
              <w:right w:type="dxa" w:w="100"/>
            </w:tcMar>
          </w:tcPr>
          <w:p>
            <w:r>
              <w:rPr>
                <w:b/>
                <w:bCs/>
                <w:color w:val="FFFFFF"/>
                <w:sz w:val="18"/>
                <w:szCs w:val="18"/>
              </w:rPr>
              <w:t xml:space="preserve">Definición</w:t>
            </w:r>
          </w:p>
        </w:tc>
      </w:tr>
      <w:tr>
        <w:tc>
          <w:tcPr>
            <w:tcW w:type="dxa" w:w="2400"/>
            <w:tcMar>
              <w:top w:type="dxa" w:w="70"/>
              <w:left w:type="dxa" w:w="100"/>
              <w:bottom w:type="dxa" w:w="70"/>
              <w:right w:type="dxa" w:w="100"/>
            </w:tcMar>
          </w:tcPr>
          <w:p>
            <w:r>
              <w:rPr>
                <w:b w:val="false"/>
                <w:bCs w:val="false"/>
                <w:sz w:val="18"/>
                <w:szCs w:val="18"/>
              </w:rPr>
              <w:t xml:space="preserve">Beneficiario Controlador</w:t>
            </w:r>
          </w:p>
        </w:tc>
        <w:tc>
          <w:tcPr>
            <w:tcW w:type="dxa" w:w="7200"/>
            <w:tcMar>
              <w:top w:type="dxa" w:w="70"/>
              <w:left w:type="dxa" w:w="100"/>
              <w:bottom w:type="dxa" w:w="70"/>
              <w:right w:type="dxa" w:w="100"/>
            </w:tcMar>
          </w:tcPr>
          <w:p>
            <w:r>
              <w:rPr>
                <w:b w:val="false"/>
                <w:bCs w:val="false"/>
                <w:sz w:val="18"/>
                <w:szCs w:val="18"/>
              </w:rPr>
              <w:t xml:space="preserve">Persona física que en última instancia obtiene el beneficio o ejerce el control efectivo de un acto, operación o persona moral.</w:t>
            </w:r>
          </w:p>
        </w:tc>
      </w:tr>
      <w:tr>
        <w:tc>
          <w:tcPr>
            <w:tcW w:type="dxa" w:w="2400"/>
            <w:tcMar>
              <w:top w:type="dxa" w:w="70"/>
              <w:left w:type="dxa" w:w="100"/>
              <w:bottom w:type="dxa" w:w="70"/>
              <w:right w:type="dxa" w:w="100"/>
            </w:tcMar>
          </w:tcPr>
          <w:p>
            <w:r>
              <w:rPr>
                <w:b w:val="false"/>
                <w:bCs w:val="false"/>
                <w:sz w:val="18"/>
                <w:szCs w:val="18"/>
              </w:rPr>
              <w:t xml:space="preserve">Certus PLD</w:t>
            </w:r>
          </w:p>
        </w:tc>
        <w:tc>
          <w:tcPr>
            <w:tcW w:type="dxa" w:w="7200"/>
            <w:tcMar>
              <w:top w:type="dxa" w:w="70"/>
              <w:left w:type="dxa" w:w="100"/>
              <w:bottom w:type="dxa" w:w="70"/>
              <w:right w:type="dxa" w:w="100"/>
            </w:tcMar>
          </w:tcPr>
          <w:p>
            <w:r>
              <w:rPr>
                <w:b w:val="false"/>
                <w:bCs w:val="false"/>
                <w:sz w:val="18"/>
                <w:szCs w:val="18"/>
              </w:rPr>
              <w:t xml:space="preserve">Programa de Cumplimiento PLD/FT para Inmobiliarias de Certus Consultores.</w:t>
            </w:r>
          </w:p>
        </w:tc>
      </w:tr>
      <w:tr>
        <w:tc>
          <w:tcPr>
            <w:tcW w:type="dxa" w:w="2400"/>
            <w:tcMar>
              <w:top w:type="dxa" w:w="70"/>
              <w:left w:type="dxa" w:w="100"/>
              <w:bottom w:type="dxa" w:w="70"/>
              <w:right w:type="dxa" w:w="100"/>
            </w:tcMar>
          </w:tcPr>
          <w:p>
            <w:r>
              <w:rPr>
                <w:b w:val="false"/>
                <w:bCs w:val="false"/>
                <w:sz w:val="18"/>
                <w:szCs w:val="18"/>
              </w:rPr>
              <w:t xml:space="preserve">EBR</w:t>
            </w:r>
          </w:p>
        </w:tc>
        <w:tc>
          <w:tcPr>
            <w:tcW w:type="dxa" w:w="7200"/>
            <w:tcMar>
              <w:top w:type="dxa" w:w="70"/>
              <w:left w:type="dxa" w:w="100"/>
              <w:bottom w:type="dxa" w:w="70"/>
              <w:right w:type="dxa" w:w="100"/>
            </w:tcMar>
          </w:tcPr>
          <w:p>
            <w:r>
              <w:rPr>
                <w:b w:val="false"/>
                <w:bCs w:val="false"/>
                <w:sz w:val="18"/>
                <w:szCs w:val="18"/>
              </w:rPr>
              <w:t xml:space="preserve">Enfoque Basado en Riesgo — metodología de evaluación de Riesgo de clientes (Cap. II Quáter RCG).</w:t>
            </w:r>
          </w:p>
        </w:tc>
      </w:tr>
      <w:tr>
        <w:tc>
          <w:tcPr>
            <w:tcW w:type="dxa" w:w="2400"/>
            <w:tcMar>
              <w:top w:type="dxa" w:w="70"/>
              <w:left w:type="dxa" w:w="100"/>
              <w:bottom w:type="dxa" w:w="70"/>
              <w:right w:type="dxa" w:w="100"/>
            </w:tcMar>
          </w:tcPr>
          <w:p>
            <w:r>
              <w:rPr>
                <w:b w:val="false"/>
                <w:bCs w:val="false"/>
                <w:sz w:val="18"/>
                <w:szCs w:val="18"/>
              </w:rPr>
              <w:t xml:space="preserve">Evaluación Nacional de Riesgos</w:t>
            </w:r>
          </w:p>
        </w:tc>
        <w:tc>
          <w:tcPr>
            <w:tcW w:type="dxa" w:w="7200"/>
            <w:tcMar>
              <w:top w:type="dxa" w:w="70"/>
              <w:left w:type="dxa" w:w="100"/>
              <w:bottom w:type="dxa" w:w="70"/>
              <w:right w:type="dxa" w:w="100"/>
            </w:tcMar>
          </w:tcPr>
          <w:p>
            <w:r>
              <w:rPr>
                <w:b w:val="false"/>
                <w:bCs w:val="false"/>
                <w:sz w:val="18"/>
                <w:szCs w:val="18"/>
              </w:rPr>
              <w:t xml:space="preserve">Documento que emite y actualiza la UIF y da a conocer a través del Portal en Internet (Art. 3 fr. VIII Bis RCG).</w:t>
            </w:r>
          </w:p>
        </w:tc>
      </w:tr>
      <w:tr>
        <w:tc>
          <w:tcPr>
            <w:tcW w:type="dxa" w:w="2400"/>
            <w:tcMar>
              <w:top w:type="dxa" w:w="70"/>
              <w:left w:type="dxa" w:w="100"/>
              <w:bottom w:type="dxa" w:w="70"/>
              <w:right w:type="dxa" w:w="100"/>
            </w:tcMar>
          </w:tcPr>
          <w:p>
            <w:r>
              <w:rPr>
                <w:b w:val="false"/>
                <w:bCs w:val="false"/>
                <w:sz w:val="18"/>
                <w:szCs w:val="18"/>
              </w:rPr>
              <w:t xml:space="preserve">Grado de Riesgo</w:t>
            </w:r>
          </w:p>
        </w:tc>
        <w:tc>
          <w:tcPr>
            <w:tcW w:type="dxa" w:w="7200"/>
            <w:tcMar>
              <w:top w:type="dxa" w:w="70"/>
              <w:left w:type="dxa" w:w="100"/>
              <w:bottom w:type="dxa" w:w="70"/>
              <w:right w:type="dxa" w:w="100"/>
            </w:tcMar>
          </w:tcPr>
          <w:p>
            <w:r>
              <w:rPr>
                <w:b w:val="false"/>
                <w:bCs w:val="false"/>
                <w:sz w:val="18"/>
                <w:szCs w:val="18"/>
              </w:rPr>
              <w:t xml:space="preserve">Clasificación que otorga la empresa a sus clientes con base en la evaluación de Riesgo (Art. 3 fr. IX Bis RCG).</w:t>
            </w:r>
          </w:p>
        </w:tc>
      </w:tr>
      <w:tr>
        <w:tc>
          <w:tcPr>
            <w:tcW w:type="dxa" w:w="2400"/>
            <w:tcMar>
              <w:top w:type="dxa" w:w="70"/>
              <w:left w:type="dxa" w:w="100"/>
              <w:bottom w:type="dxa" w:w="70"/>
              <w:right w:type="dxa" w:w="100"/>
            </w:tcMar>
          </w:tcPr>
          <w:p>
            <w:r>
              <w:rPr>
                <w:b w:val="false"/>
                <w:bCs w:val="false"/>
                <w:sz w:val="18"/>
                <w:szCs w:val="18"/>
              </w:rPr>
              <w:t xml:space="preserve">KYC</w:t>
            </w:r>
          </w:p>
        </w:tc>
        <w:tc>
          <w:tcPr>
            <w:tcW w:type="dxa" w:w="7200"/>
            <w:tcMar>
              <w:top w:type="dxa" w:w="70"/>
              <w:left w:type="dxa" w:w="100"/>
              <w:bottom w:type="dxa" w:w="70"/>
              <w:right w:type="dxa" w:w="100"/>
            </w:tcMar>
          </w:tcPr>
          <w:p>
            <w:r>
              <w:rPr>
                <w:b w:val="false"/>
                <w:bCs w:val="false"/>
                <w:sz w:val="18"/>
                <w:szCs w:val="18"/>
              </w:rPr>
              <w:t xml:space="preserve">Know Your Customer — proceso de identificación y verificación del cliente.</w:t>
            </w:r>
          </w:p>
        </w:tc>
      </w:tr>
      <w:tr>
        <w:tc>
          <w:tcPr>
            <w:tcW w:type="dxa" w:w="2400"/>
            <w:tcMar>
              <w:top w:type="dxa" w:w="70"/>
              <w:left w:type="dxa" w:w="100"/>
              <w:bottom w:type="dxa" w:w="70"/>
              <w:right w:type="dxa" w:w="100"/>
            </w:tcMar>
          </w:tcPr>
          <w:p>
            <w:r>
              <w:rPr>
                <w:b w:val="false"/>
                <w:bCs w:val="false"/>
                <w:sz w:val="18"/>
                <w:szCs w:val="18"/>
              </w:rPr>
              <w:t xml:space="preserve">LFPIORPI</w:t>
            </w:r>
          </w:p>
        </w:tc>
        <w:tc>
          <w:tcPr>
            <w:tcW w:type="dxa" w:w="7200"/>
            <w:tcMar>
              <w:top w:type="dxa" w:w="70"/>
              <w:left w:type="dxa" w:w="100"/>
              <w:bottom w:type="dxa" w:w="70"/>
              <w:right w:type="dxa" w:w="100"/>
            </w:tcMar>
          </w:tcPr>
          <w:p>
            <w:r>
              <w:rPr>
                <w:b w:val="false"/>
                <w:bCs w:val="false"/>
                <w:sz w:val="18"/>
                <w:szCs w:val="18"/>
              </w:rPr>
              <w:t xml:space="preserve">Ley Federal para la Prevención e Identificación de Operaciones con Recursos de Procedencia Ilícita.</w:t>
            </w:r>
          </w:p>
        </w:tc>
      </w:tr>
      <w:tr>
        <w:tc>
          <w:tcPr>
            <w:tcW w:type="dxa" w:w="2400"/>
            <w:tcMar>
              <w:top w:type="dxa" w:w="70"/>
              <w:left w:type="dxa" w:w="100"/>
              <w:bottom w:type="dxa" w:w="70"/>
              <w:right w:type="dxa" w:w="100"/>
            </w:tcMar>
          </w:tcPr>
          <w:p>
            <w:r>
              <w:rPr>
                <w:b w:val="false"/>
                <w:bCs w:val="false"/>
                <w:sz w:val="18"/>
                <w:szCs w:val="18"/>
              </w:rPr>
              <w:t xml:space="preserve">Manual de Políticas Internas</w:t>
            </w:r>
          </w:p>
        </w:tc>
        <w:tc>
          <w:tcPr>
            <w:tcW w:type="dxa" w:w="7200"/>
            <w:tcMar>
              <w:top w:type="dxa" w:w="70"/>
              <w:left w:type="dxa" w:w="100"/>
              <w:bottom w:type="dxa" w:w="70"/>
              <w:right w:type="dxa" w:w="100"/>
            </w:tcMar>
          </w:tcPr>
          <w:p>
            <w:r>
              <w:rPr>
                <w:b w:val="false"/>
                <w:bCs w:val="false"/>
                <w:sz w:val="18"/>
                <w:szCs w:val="18"/>
              </w:rPr>
              <w:t xml:space="preserve">El presente documento (Art. 3 fr. XI Bis RCG).</w:t>
            </w:r>
          </w:p>
        </w:tc>
      </w:tr>
      <w:tr>
        <w:tc>
          <w:tcPr>
            <w:tcW w:type="dxa" w:w="2400"/>
            <w:tcMar>
              <w:top w:type="dxa" w:w="70"/>
              <w:left w:type="dxa" w:w="100"/>
              <w:bottom w:type="dxa" w:w="70"/>
              <w:right w:type="dxa" w:w="100"/>
            </w:tcMar>
          </w:tcPr>
          <w:p>
            <w:r>
              <w:rPr>
                <w:b w:val="false"/>
                <w:bCs w:val="false"/>
                <w:sz w:val="18"/>
                <w:szCs w:val="18"/>
              </w:rPr>
              <w:t xml:space="preserve">Mecanismos automatizados</w:t>
            </w:r>
          </w:p>
        </w:tc>
        <w:tc>
          <w:tcPr>
            <w:tcW w:type="dxa" w:w="7200"/>
            <w:tcMar>
              <w:top w:type="dxa" w:w="70"/>
              <w:left w:type="dxa" w:w="100"/>
              <w:bottom w:type="dxa" w:w="70"/>
              <w:right w:type="dxa" w:w="100"/>
            </w:tcMar>
          </w:tcPr>
          <w:p>
            <w:r>
              <w:rPr>
                <w:b w:val="false"/>
                <w:bCs w:val="false"/>
                <w:sz w:val="18"/>
                <w:szCs w:val="18"/>
              </w:rPr>
              <w:t xml:space="preserve">Procesos, sistemas o herramientas tecnológicas que permiten revisar de manera continua los actos u operaciones (Art. 3 fr. XI Ter RCG).</w:t>
            </w:r>
          </w:p>
        </w:tc>
      </w:tr>
      <w:tr>
        <w:tc>
          <w:tcPr>
            <w:tcW w:type="dxa" w:w="2400"/>
            <w:tcMar>
              <w:top w:type="dxa" w:w="70"/>
              <w:left w:type="dxa" w:w="100"/>
              <w:bottom w:type="dxa" w:w="70"/>
              <w:right w:type="dxa" w:w="100"/>
            </w:tcMar>
          </w:tcPr>
          <w:p>
            <w:r>
              <w:rPr>
                <w:b w:val="false"/>
                <w:bCs w:val="false"/>
                <w:sz w:val="18"/>
                <w:szCs w:val="18"/>
              </w:rPr>
              <w:t xml:space="preserve">Mitigantes</w:t>
            </w:r>
          </w:p>
        </w:tc>
        <w:tc>
          <w:tcPr>
            <w:tcW w:type="dxa" w:w="7200"/>
            <w:tcMar>
              <w:top w:type="dxa" w:w="70"/>
              <w:left w:type="dxa" w:w="100"/>
              <w:bottom w:type="dxa" w:w="70"/>
              <w:right w:type="dxa" w:w="100"/>
            </w:tcMar>
          </w:tcPr>
          <w:p>
            <w:r>
              <w:rPr>
                <w:b w:val="false"/>
                <w:bCs w:val="false"/>
                <w:sz w:val="18"/>
                <w:szCs w:val="18"/>
              </w:rPr>
              <w:t xml:space="preserve">Políticas, criterios, medidas y procedimientos que ayudan a administrar y disminuir la exposición a los Riesgos identificados (Art. 3 fr. XI Quinquies RCG).</w:t>
            </w:r>
          </w:p>
        </w:tc>
      </w:tr>
      <w:tr>
        <w:tc>
          <w:tcPr>
            <w:tcW w:type="dxa" w:w="2400"/>
            <w:tcMar>
              <w:top w:type="dxa" w:w="70"/>
              <w:left w:type="dxa" w:w="100"/>
              <w:bottom w:type="dxa" w:w="70"/>
              <w:right w:type="dxa" w:w="100"/>
            </w:tcMar>
          </w:tcPr>
          <w:p>
            <w:r>
              <w:rPr>
                <w:b w:val="false"/>
                <w:bCs w:val="false"/>
                <w:sz w:val="18"/>
                <w:szCs w:val="18"/>
              </w:rPr>
              <w:t xml:space="preserve">PEP</w:t>
            </w:r>
          </w:p>
        </w:tc>
        <w:tc>
          <w:tcPr>
            <w:tcW w:type="dxa" w:w="7200"/>
            <w:tcMar>
              <w:top w:type="dxa" w:w="70"/>
              <w:left w:type="dxa" w:w="100"/>
              <w:bottom w:type="dxa" w:w="70"/>
              <w:right w:type="dxa" w:w="100"/>
            </w:tcMar>
          </w:tcPr>
          <w:p>
            <w:r>
              <w:rPr>
                <w:b w:val="false"/>
                <w:bCs w:val="false"/>
                <w:sz w:val="18"/>
                <w:szCs w:val="18"/>
              </w:rPr>
              <w:t xml:space="preserve">Persona Políticamente Expuesta.</w:t>
            </w:r>
          </w:p>
        </w:tc>
      </w:tr>
      <w:tr>
        <w:tc>
          <w:tcPr>
            <w:tcW w:type="dxa" w:w="2400"/>
            <w:tcMar>
              <w:top w:type="dxa" w:w="70"/>
              <w:left w:type="dxa" w:w="100"/>
              <w:bottom w:type="dxa" w:w="70"/>
              <w:right w:type="dxa" w:w="100"/>
            </w:tcMar>
          </w:tcPr>
          <w:p>
            <w:r>
              <w:rPr>
                <w:b w:val="false"/>
                <w:bCs w:val="false"/>
                <w:sz w:val="18"/>
                <w:szCs w:val="18"/>
              </w:rPr>
              <w:t xml:space="preserve">Perfil Transaccional</w:t>
            </w:r>
          </w:p>
        </w:tc>
        <w:tc>
          <w:tcPr>
            <w:tcW w:type="dxa" w:w="7200"/>
            <w:tcMar>
              <w:top w:type="dxa" w:w="70"/>
              <w:left w:type="dxa" w:w="100"/>
              <w:bottom w:type="dxa" w:w="70"/>
              <w:right w:type="dxa" w:w="100"/>
            </w:tcMar>
          </w:tcPr>
          <w:p>
            <w:r>
              <w:rPr>
                <w:b w:val="false"/>
                <w:bCs w:val="false"/>
                <w:sz w:val="18"/>
                <w:szCs w:val="18"/>
              </w:rPr>
              <w:t xml:space="preserve">Conjunto de elementos que permiten identificar el comportamiento esperado de los actos u operaciones de un cliente (Art. 3 fr. XI Sexties RCG).</w:t>
            </w:r>
          </w:p>
        </w:tc>
      </w:tr>
      <w:tr>
        <w:tc>
          <w:tcPr>
            <w:tcW w:type="dxa" w:w="2400"/>
            <w:tcMar>
              <w:top w:type="dxa" w:w="70"/>
              <w:left w:type="dxa" w:w="100"/>
              <w:bottom w:type="dxa" w:w="70"/>
              <w:right w:type="dxa" w:w="100"/>
            </w:tcMar>
          </w:tcPr>
          <w:p>
            <w:r>
              <w:rPr>
                <w:b w:val="false"/>
                <w:bCs w:val="false"/>
                <w:sz w:val="18"/>
                <w:szCs w:val="18"/>
              </w:rPr>
              <w:t xml:space="preserve">PLD/FT</w:t>
            </w:r>
          </w:p>
        </w:tc>
        <w:tc>
          <w:tcPr>
            <w:tcW w:type="dxa" w:w="7200"/>
            <w:tcMar>
              <w:top w:type="dxa" w:w="70"/>
              <w:left w:type="dxa" w:w="100"/>
              <w:bottom w:type="dxa" w:w="70"/>
              <w:right w:type="dxa" w:w="100"/>
            </w:tcMar>
          </w:tcPr>
          <w:p>
            <w:r>
              <w:rPr>
                <w:b w:val="false"/>
                <w:bCs w:val="false"/>
                <w:sz w:val="18"/>
                <w:szCs w:val="18"/>
              </w:rPr>
              <w:t xml:space="preserve">Prevención de Lavado de Dinero y Financiamiento al Terrorismo.</w:t>
            </w:r>
          </w:p>
        </w:tc>
      </w:tr>
      <w:tr>
        <w:tc>
          <w:tcPr>
            <w:tcW w:type="dxa" w:w="2400"/>
            <w:tcMar>
              <w:top w:type="dxa" w:w="70"/>
              <w:left w:type="dxa" w:w="100"/>
              <w:bottom w:type="dxa" w:w="70"/>
              <w:right w:type="dxa" w:w="100"/>
            </w:tcMar>
          </w:tcPr>
          <w:p>
            <w:r>
              <w:rPr>
                <w:b w:val="false"/>
                <w:bCs w:val="false"/>
                <w:sz w:val="18"/>
                <w:szCs w:val="18"/>
              </w:rPr>
              <w:t xml:space="preserve">SPPLD</w:t>
            </w:r>
          </w:p>
        </w:tc>
        <w:tc>
          <w:tcPr>
            <w:tcW w:type="dxa" w:w="7200"/>
            <w:tcMar>
              <w:top w:type="dxa" w:w="70"/>
              <w:left w:type="dxa" w:w="100"/>
              <w:bottom w:type="dxa" w:w="70"/>
              <w:right w:type="dxa" w:w="100"/>
            </w:tcMar>
          </w:tcPr>
          <w:p>
            <w:r>
              <w:rPr>
                <w:b w:val="false"/>
                <w:bCs w:val="false"/>
                <w:sz w:val="18"/>
                <w:szCs w:val="18"/>
              </w:rPr>
              <w:t xml:space="preserve">Sistema de Portal para la Prevención del Lavado de Dinero — portal del SAT.</w:t>
            </w:r>
          </w:p>
        </w:tc>
      </w:tr>
      <w:tr>
        <w:tc>
          <w:tcPr>
            <w:tcW w:type="dxa" w:w="2400"/>
            <w:tcMar>
              <w:top w:type="dxa" w:w="70"/>
              <w:left w:type="dxa" w:w="100"/>
              <w:bottom w:type="dxa" w:w="70"/>
              <w:right w:type="dxa" w:w="100"/>
            </w:tcMar>
          </w:tcPr>
          <w:p>
            <w:r>
              <w:rPr>
                <w:b w:val="false"/>
                <w:bCs w:val="false"/>
                <w:sz w:val="18"/>
                <w:szCs w:val="18"/>
              </w:rPr>
              <w:t xml:space="preserve">UMA</w:t>
            </w:r>
          </w:p>
        </w:tc>
        <w:tc>
          <w:tcPr>
            <w:tcW w:type="dxa" w:w="7200"/>
            <w:tcMar>
              <w:top w:type="dxa" w:w="70"/>
              <w:left w:type="dxa" w:w="100"/>
              <w:bottom w:type="dxa" w:w="70"/>
              <w:right w:type="dxa" w:w="100"/>
            </w:tcMar>
          </w:tcPr>
          <w:p>
            <w:r>
              <w:rPr>
                <w:b w:val="false"/>
                <w:bCs w:val="false"/>
                <w:sz w:val="18"/>
                <w:szCs w:val="18"/>
              </w:rPr>
              <w:t xml:space="preserve">Unidad de Medida y Actualización — $117.31 MXN diarios en 2026 (INEGI).</w:t>
            </w:r>
          </w:p>
        </w:tc>
      </w:tr>
    </w:tbl>
    <w:p>
      <w:pPr>
        <w:pStyle w:val="Heading2"/>
        <w:keepNext/>
        <w:pageBreakBefore/>
        <w:spacing w:after="120" w:before="320"/>
      </w:pPr>
      <w:r>
        <w:t xml:space="preserve">Anexo A. Correspondencia con el contenido mínimo del Manual (Arts. 37 y 37 Bis RCG)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900"/>
        <w:gridCol w:w="2200"/>
        <w:gridCol w:w="2500"/>
      </w:tblGrid>
      <w:tr>
        <w:trPr>
          <w:tblHeader/>
        </w:trPr>
        <w:tc>
          <w:tcPr>
            <w:tcW w:type="dxa" w:w="900"/>
            <w:shd w:fill="1F3864" w:val="clear"/>
            <w:tcMar>
              <w:top w:type="dxa" w:w="60"/>
              <w:left w:type="dxa" w:w="100"/>
              <w:bottom w:type="dxa" w:w="60"/>
              <w:right w:type="dxa" w:w="100"/>
            </w:tcMar>
          </w:tcPr>
          <w:p>
            <w:pPr>
              <w:spacing w:after="0"/>
            </w:pPr>
            <w:r>
              <w:rPr>
                <w:b/>
                <w:bCs/>
                <w:color w:val="FFFFFF"/>
                <w:sz w:val="18"/>
                <w:szCs w:val="18"/>
              </w:rPr>
              <w:t xml:space="preserve">Fracc.</w:t>
            </w:r>
          </w:p>
        </w:tc>
        <w:tc>
          <w:tcPr>
            <w:tcW w:type="dxa" w:w="3900"/>
            <w:shd w:fill="1F3864" w:val="clear"/>
            <w:tcMar>
              <w:top w:type="dxa" w:w="60"/>
              <w:left w:type="dxa" w:w="100"/>
              <w:bottom w:type="dxa" w:w="60"/>
              <w:right w:type="dxa" w:w="100"/>
            </w:tcMar>
          </w:tcPr>
          <w:p>
            <w:pPr>
              <w:spacing w:after="0"/>
            </w:pPr>
            <w:r>
              <w:rPr>
                <w:b/>
                <w:bCs/>
                <w:color w:val="FFFFFF"/>
                <w:sz w:val="18"/>
                <w:szCs w:val="18"/>
              </w:rPr>
              <w:t xml:space="preserve">Contenido mínimo</w:t>
            </w:r>
          </w:p>
        </w:tc>
        <w:tc>
          <w:tcPr>
            <w:tcW w:type="dxa" w:w="2200"/>
            <w:shd w:fill="1F3864" w:val="clear"/>
            <w:tcMar>
              <w:top w:type="dxa" w:w="60"/>
              <w:left w:type="dxa" w:w="100"/>
              <w:bottom w:type="dxa" w:w="60"/>
              <w:right w:type="dxa" w:w="100"/>
            </w:tcMar>
          </w:tcPr>
          <w:p>
            <w:pPr>
              <w:spacing w:after="0"/>
            </w:pPr>
            <w:r>
              <w:rPr>
                <w:b/>
                <w:bCs/>
                <w:color w:val="FFFFFF"/>
                <w:sz w:val="18"/>
                <w:szCs w:val="18"/>
              </w:rPr>
              <w:t xml:space="preserve">Capítulo de este Manual</w:t>
            </w:r>
          </w:p>
        </w:tc>
        <w:tc>
          <w:tcPr>
            <w:tcW w:type="dxa" w:w="2500"/>
            <w:shd w:fill="1F3864" w:val="clear"/>
            <w:tcMar>
              <w:top w:type="dxa" w:w="60"/>
              <w:left w:type="dxa" w:w="100"/>
              <w:bottom w:type="dxa" w:w="60"/>
              <w:right w:type="dxa" w:w="100"/>
            </w:tcMar>
          </w:tcPr>
          <w:p>
            <w:pPr>
              <w:spacing w:after="0"/>
            </w:pPr>
            <w:r>
              <w:rPr>
                <w:b/>
                <w:bCs/>
                <w:color w:val="FFFFFF"/>
                <w:sz w:val="18"/>
                <w:szCs w:val="18"/>
              </w:rPr>
              <w:t xml:space="preserve">Documento del Programa</w:t>
            </w:r>
          </w:p>
        </w:tc>
      </w:tr>
      <w:tr>
        <w:trPr>
          <w:cantSplit/>
        </w:trPr>
        <w:tc>
          <w:tcPr>
            <w:tcW w:type="dxa" w:w="900"/>
            <w:tcMar>
              <w:top w:type="dxa" w:w="60"/>
              <w:left w:type="dxa" w:w="100"/>
              <w:bottom w:type="dxa" w:w="60"/>
              <w:right w:type="dxa" w:w="100"/>
            </w:tcMar>
          </w:tcPr>
          <w:p>
            <w:pPr>
              <w:spacing w:after="0"/>
            </w:pPr>
            <w:r>
              <w:rPr>
                <w:sz w:val="18"/>
                <w:szCs w:val="18"/>
              </w:rPr>
              <w:t xml:space="preserve">I</w:t>
            </w:r>
          </w:p>
        </w:tc>
        <w:tc>
          <w:tcPr>
            <w:tcW w:type="dxa" w:w="3900"/>
            <w:tcMar>
              <w:top w:type="dxa" w:w="60"/>
              <w:left w:type="dxa" w:w="100"/>
              <w:bottom w:type="dxa" w:w="60"/>
              <w:right w:type="dxa" w:w="100"/>
            </w:tcMar>
          </w:tcPr>
          <w:p>
            <w:pPr>
              <w:spacing w:after="0"/>
            </w:pPr>
            <w:r>
              <w:rPr>
                <w:sz w:val="18"/>
                <w:szCs w:val="18"/>
              </w:rPr>
              <w:t xml:space="preserve">Identificación y conocimiento de Clientes o Usuarias, incluido el Beneficiario Controlador</w:t>
            </w:r>
          </w:p>
        </w:tc>
        <w:tc>
          <w:tcPr>
            <w:tcW w:type="dxa" w:w="2200"/>
            <w:tcMar>
              <w:top w:type="dxa" w:w="60"/>
              <w:left w:type="dxa" w:w="100"/>
              <w:bottom w:type="dxa" w:w="60"/>
              <w:right w:type="dxa" w:w="100"/>
            </w:tcMar>
          </w:tcPr>
          <w:p>
            <w:pPr>
              <w:spacing w:after="0"/>
            </w:pPr>
            <w:r>
              <w:rPr>
                <w:sz w:val="18"/>
                <w:szCs w:val="18"/>
              </w:rPr>
              <w:t xml:space="preserve">Caps. 4 y 7</w:t>
            </w:r>
          </w:p>
        </w:tc>
        <w:tc>
          <w:tcPr>
            <w:tcW w:type="dxa" w:w="2500"/>
            <w:tcMar>
              <w:top w:type="dxa" w:w="60"/>
              <w:left w:type="dxa" w:w="100"/>
              <w:bottom w:type="dxa" w:w="60"/>
              <w:right w:type="dxa" w:w="100"/>
            </w:tcMar>
          </w:tcPr>
          <w:p>
            <w:pPr>
              <w:spacing w:after="0"/>
            </w:pPr>
            <w:r>
              <w:rPr>
                <w:sz w:val="18"/>
                <w:szCs w:val="18"/>
              </w:rPr>
              <w:t xml:space="preserve">D7, D14</w:t>
            </w:r>
          </w:p>
        </w:tc>
      </w:tr>
      <w:tr>
        <w:trPr>
          <w:cantSplit/>
        </w:trPr>
        <w:tc>
          <w:tcPr>
            <w:tcW w:type="dxa" w:w="900"/>
            <w:tcMar>
              <w:top w:type="dxa" w:w="60"/>
              <w:left w:type="dxa" w:w="100"/>
              <w:bottom w:type="dxa" w:w="60"/>
              <w:right w:type="dxa" w:w="100"/>
            </w:tcMar>
          </w:tcPr>
          <w:p>
            <w:pPr>
              <w:spacing w:after="0"/>
            </w:pPr>
            <w:r>
              <w:rPr>
                <w:sz w:val="18"/>
                <w:szCs w:val="18"/>
              </w:rPr>
              <w:t xml:space="preserve">II</w:t>
            </w:r>
          </w:p>
        </w:tc>
        <w:tc>
          <w:tcPr>
            <w:tcW w:type="dxa" w:w="3900"/>
            <w:tcMar>
              <w:top w:type="dxa" w:w="60"/>
              <w:left w:type="dxa" w:w="100"/>
              <w:bottom w:type="dxa" w:w="60"/>
              <w:right w:type="dxa" w:w="100"/>
            </w:tcMar>
          </w:tcPr>
          <w:p>
            <w:pPr>
              <w:spacing w:after="0"/>
            </w:pPr>
            <w:r>
              <w:rPr>
                <w:sz w:val="18"/>
                <w:szCs w:val="18"/>
              </w:rPr>
              <w:t xml:space="preserve">Mecanismos de clasificación de Riesgo</w:t>
            </w:r>
          </w:p>
        </w:tc>
        <w:tc>
          <w:tcPr>
            <w:tcW w:type="dxa" w:w="2200"/>
            <w:tcMar>
              <w:top w:type="dxa" w:w="60"/>
              <w:left w:type="dxa" w:w="100"/>
              <w:bottom w:type="dxa" w:w="60"/>
              <w:right w:type="dxa" w:w="100"/>
            </w:tcMar>
          </w:tcPr>
          <w:p>
            <w:pPr>
              <w:spacing w:after="0"/>
            </w:pPr>
            <w:r>
              <w:rPr>
                <w:sz w:val="18"/>
                <w:szCs w:val="18"/>
              </w:rPr>
              <w:t xml:space="preserve">Caps. 5 y 5.1</w:t>
            </w:r>
          </w:p>
        </w:tc>
        <w:tc>
          <w:tcPr>
            <w:tcW w:type="dxa" w:w="2500"/>
            <w:tcMar>
              <w:top w:type="dxa" w:w="60"/>
              <w:left w:type="dxa" w:w="100"/>
              <w:bottom w:type="dxa" w:w="60"/>
              <w:right w:type="dxa" w:w="100"/>
            </w:tcMar>
          </w:tcPr>
          <w:p>
            <w:pPr>
              <w:spacing w:after="0"/>
            </w:pPr>
            <w:r>
              <w:rPr>
                <w:sz w:val="18"/>
                <w:szCs w:val="18"/>
              </w:rPr>
              <w:t xml:space="preserve">D6</w:t>
            </w:r>
          </w:p>
        </w:tc>
      </w:tr>
      <w:tr>
        <w:trPr>
          <w:cantSplit/>
        </w:trPr>
        <w:tc>
          <w:tcPr>
            <w:tcW w:type="dxa" w:w="900"/>
            <w:tcMar>
              <w:top w:type="dxa" w:w="60"/>
              <w:left w:type="dxa" w:w="100"/>
              <w:bottom w:type="dxa" w:w="60"/>
              <w:right w:type="dxa" w:w="100"/>
            </w:tcMar>
          </w:tcPr>
          <w:p>
            <w:pPr>
              <w:spacing w:after="0"/>
            </w:pPr>
            <w:r>
              <w:rPr>
                <w:sz w:val="18"/>
                <w:szCs w:val="18"/>
              </w:rPr>
              <w:t xml:space="preserve">III</w:t>
            </w:r>
          </w:p>
        </w:tc>
        <w:tc>
          <w:tcPr>
            <w:tcW w:type="dxa" w:w="3900"/>
            <w:tcMar>
              <w:top w:type="dxa" w:w="60"/>
              <w:left w:type="dxa" w:w="100"/>
              <w:bottom w:type="dxa" w:w="60"/>
              <w:right w:type="dxa" w:w="100"/>
            </w:tcMar>
          </w:tcPr>
          <w:p>
            <w:pPr>
              <w:spacing w:after="0"/>
            </w:pPr>
            <w:r>
              <w:rPr>
                <w:sz w:val="18"/>
                <w:szCs w:val="18"/>
              </w:rPr>
              <w:t xml:space="preserve">Debida diligencia según el Grado de Riesgo</w:t>
            </w:r>
          </w:p>
        </w:tc>
        <w:tc>
          <w:tcPr>
            <w:tcW w:type="dxa" w:w="2200"/>
            <w:tcMar>
              <w:top w:type="dxa" w:w="60"/>
              <w:left w:type="dxa" w:w="100"/>
              <w:bottom w:type="dxa" w:w="60"/>
              <w:right w:type="dxa" w:w="100"/>
            </w:tcMar>
          </w:tcPr>
          <w:p>
            <w:pPr>
              <w:spacing w:after="0"/>
            </w:pPr>
            <w:r>
              <w:rPr>
                <w:sz w:val="18"/>
                <w:szCs w:val="18"/>
              </w:rPr>
              <w:t xml:space="preserve">Caps. 6, 6.1 y 6.2; Anexo B</w:t>
            </w:r>
          </w:p>
        </w:tc>
        <w:tc>
          <w:tcPr>
            <w:tcW w:type="dxa" w:w="2500"/>
            <w:tcMar>
              <w:top w:type="dxa" w:w="60"/>
              <w:left w:type="dxa" w:w="100"/>
              <w:bottom w:type="dxa" w:w="60"/>
              <w:right w:type="dxa" w:w="100"/>
            </w:tcMar>
          </w:tcPr>
          <w:p>
            <w:pPr>
              <w:spacing w:after="0"/>
            </w:pPr>
            <w:r>
              <w:rPr>
                <w:sz w:val="18"/>
                <w:szCs w:val="18"/>
              </w:rPr>
              <w:t xml:space="preserve">D6, D7</w:t>
            </w:r>
          </w:p>
        </w:tc>
      </w:tr>
      <w:tr>
        <w:trPr>
          <w:cantSplit/>
        </w:trPr>
        <w:tc>
          <w:tcPr>
            <w:tcW w:type="dxa" w:w="900"/>
            <w:tcMar>
              <w:top w:type="dxa" w:w="60"/>
              <w:left w:type="dxa" w:w="100"/>
              <w:bottom w:type="dxa" w:w="60"/>
              <w:right w:type="dxa" w:w="100"/>
            </w:tcMar>
          </w:tcPr>
          <w:p>
            <w:pPr>
              <w:spacing w:after="0"/>
            </w:pPr>
            <w:r>
              <w:rPr>
                <w:sz w:val="18"/>
                <w:szCs w:val="18"/>
              </w:rPr>
              <w:t xml:space="preserve">IV</w:t>
            </w:r>
          </w:p>
        </w:tc>
        <w:tc>
          <w:tcPr>
            <w:tcW w:type="dxa" w:w="3900"/>
            <w:tcMar>
              <w:top w:type="dxa" w:w="60"/>
              <w:left w:type="dxa" w:w="100"/>
              <w:bottom w:type="dxa" w:w="60"/>
              <w:right w:type="dxa" w:w="100"/>
            </w:tcMar>
          </w:tcPr>
          <w:p>
            <w:pPr>
              <w:spacing w:after="0"/>
            </w:pPr>
            <w:r>
              <w:rPr>
                <w:sz w:val="18"/>
                <w:szCs w:val="18"/>
              </w:rPr>
              <w:t xml:space="preserve">Identificación y seguimiento reforzado de PEP</w:t>
            </w:r>
          </w:p>
        </w:tc>
        <w:tc>
          <w:tcPr>
            <w:tcW w:type="dxa" w:w="2200"/>
            <w:tcMar>
              <w:top w:type="dxa" w:w="60"/>
              <w:left w:type="dxa" w:w="100"/>
              <w:bottom w:type="dxa" w:w="60"/>
              <w:right w:type="dxa" w:w="100"/>
            </w:tcMar>
          </w:tcPr>
          <w:p>
            <w:pPr>
              <w:spacing w:after="0"/>
            </w:pPr>
            <w:r>
              <w:rPr>
                <w:sz w:val="18"/>
                <w:szCs w:val="18"/>
              </w:rPr>
              <w:t xml:space="preserve">Caps. 8 y 8.1</w:t>
            </w:r>
          </w:p>
        </w:tc>
        <w:tc>
          <w:tcPr>
            <w:tcW w:type="dxa" w:w="2500"/>
            <w:tcMar>
              <w:top w:type="dxa" w:w="60"/>
              <w:left w:type="dxa" w:w="100"/>
              <w:bottom w:type="dxa" w:w="60"/>
              <w:right w:type="dxa" w:w="100"/>
            </w:tcMar>
          </w:tcPr>
          <w:p>
            <w:pPr>
              <w:spacing w:after="0"/>
            </w:pPr>
            <w:r>
              <w:rPr>
                <w:sz w:val="18"/>
                <w:szCs w:val="18"/>
              </w:rPr>
              <w:t xml:space="preserve">D8</w:t>
            </w:r>
          </w:p>
        </w:tc>
      </w:tr>
      <w:tr>
        <w:trPr>
          <w:cantSplit/>
        </w:trPr>
        <w:tc>
          <w:tcPr>
            <w:tcW w:type="dxa" w:w="900"/>
            <w:tcMar>
              <w:top w:type="dxa" w:w="60"/>
              <w:left w:type="dxa" w:w="100"/>
              <w:bottom w:type="dxa" w:w="60"/>
              <w:right w:type="dxa" w:w="100"/>
            </w:tcMar>
          </w:tcPr>
          <w:p>
            <w:pPr>
              <w:spacing w:after="0"/>
            </w:pPr>
            <w:r>
              <w:rPr>
                <w:sz w:val="18"/>
                <w:szCs w:val="18"/>
              </w:rPr>
              <w:t xml:space="preserve">V</w:t>
            </w:r>
          </w:p>
        </w:tc>
        <w:tc>
          <w:tcPr>
            <w:tcW w:type="dxa" w:w="3900"/>
            <w:tcMar>
              <w:top w:type="dxa" w:w="60"/>
              <w:left w:type="dxa" w:w="100"/>
              <w:bottom w:type="dxa" w:w="60"/>
              <w:right w:type="dxa" w:w="100"/>
            </w:tcMar>
          </w:tcPr>
          <w:p>
            <w:pPr>
              <w:spacing w:after="0"/>
            </w:pPr>
            <w:r>
              <w:rPr>
                <w:sz w:val="18"/>
                <w:szCs w:val="18"/>
              </w:rPr>
              <w:t xml:space="preserve">Detección de desviaciones del Perfil Transaccional</w:t>
            </w:r>
          </w:p>
        </w:tc>
        <w:tc>
          <w:tcPr>
            <w:tcW w:type="dxa" w:w="2200"/>
            <w:tcMar>
              <w:top w:type="dxa" w:w="60"/>
              <w:left w:type="dxa" w:w="100"/>
              <w:bottom w:type="dxa" w:w="60"/>
              <w:right w:type="dxa" w:w="100"/>
            </w:tcMar>
          </w:tcPr>
          <w:p>
            <w:pPr>
              <w:spacing w:after="0"/>
            </w:pPr>
            <w:r>
              <w:rPr>
                <w:sz w:val="18"/>
                <w:szCs w:val="18"/>
              </w:rPr>
              <w:t xml:space="preserve">Caps. 9 y 9.1</w:t>
            </w:r>
          </w:p>
        </w:tc>
        <w:tc>
          <w:tcPr>
            <w:tcW w:type="dxa" w:w="2500"/>
            <w:tcMar>
              <w:top w:type="dxa" w:w="60"/>
              <w:left w:type="dxa" w:w="100"/>
              <w:bottom w:type="dxa" w:w="60"/>
              <w:right w:type="dxa" w:w="100"/>
            </w:tcMar>
          </w:tcPr>
          <w:p>
            <w:pPr>
              <w:spacing w:after="0"/>
            </w:pPr>
            <w:r>
              <w:rPr>
                <w:sz w:val="18"/>
                <w:szCs w:val="18"/>
              </w:rPr>
              <w:t xml:space="preserve">D9</w:t>
            </w:r>
          </w:p>
        </w:tc>
      </w:tr>
      <w:tr>
        <w:trPr>
          <w:cantSplit/>
        </w:trPr>
        <w:tc>
          <w:tcPr>
            <w:tcW w:type="dxa" w:w="900"/>
            <w:tcMar>
              <w:top w:type="dxa" w:w="60"/>
              <w:left w:type="dxa" w:w="100"/>
              <w:bottom w:type="dxa" w:w="60"/>
              <w:right w:type="dxa" w:w="100"/>
            </w:tcMar>
          </w:tcPr>
          <w:p>
            <w:pPr>
              <w:spacing w:after="0"/>
            </w:pPr>
            <w:r>
              <w:rPr>
                <w:sz w:val="18"/>
                <w:szCs w:val="18"/>
              </w:rPr>
              <w:t xml:space="preserve">VI</w:t>
            </w:r>
          </w:p>
        </w:tc>
        <w:tc>
          <w:tcPr>
            <w:tcW w:type="dxa" w:w="3900"/>
            <w:tcMar>
              <w:top w:type="dxa" w:w="60"/>
              <w:left w:type="dxa" w:w="100"/>
              <w:bottom w:type="dxa" w:w="60"/>
              <w:right w:type="dxa" w:w="100"/>
            </w:tcMar>
          </w:tcPr>
          <w:p>
            <w:pPr>
              <w:spacing w:after="0"/>
            </w:pPr>
            <w:r>
              <w:rPr>
                <w:sz w:val="18"/>
                <w:szCs w:val="18"/>
              </w:rPr>
              <w:t xml:space="preserve">Presentación de Avisos e Informes</w:t>
            </w:r>
          </w:p>
        </w:tc>
        <w:tc>
          <w:tcPr>
            <w:tcW w:type="dxa" w:w="2200"/>
            <w:tcMar>
              <w:top w:type="dxa" w:w="60"/>
              <w:left w:type="dxa" w:w="100"/>
              <w:bottom w:type="dxa" w:w="60"/>
              <w:right w:type="dxa" w:w="100"/>
            </w:tcMar>
          </w:tcPr>
          <w:p>
            <w:pPr>
              <w:spacing w:after="0"/>
            </w:pPr>
            <w:r>
              <w:rPr>
                <w:sz w:val="18"/>
                <w:szCs w:val="18"/>
              </w:rPr>
              <w:t xml:space="preserve">Caps. 10, 12 y 12.1</w:t>
            </w:r>
          </w:p>
        </w:tc>
        <w:tc>
          <w:tcPr>
            <w:tcW w:type="dxa" w:w="2500"/>
            <w:tcMar>
              <w:top w:type="dxa" w:w="60"/>
              <w:left w:type="dxa" w:w="100"/>
              <w:bottom w:type="dxa" w:w="60"/>
              <w:right w:type="dxa" w:w="100"/>
            </w:tcMar>
          </w:tcPr>
          <w:p>
            <w:pPr>
              <w:spacing w:after="0"/>
            </w:pPr>
            <w:r>
              <w:rPr>
                <w:sz w:val="18"/>
                <w:szCs w:val="18"/>
              </w:rPr>
              <w:t xml:space="preserve">D9, D12</w:t>
            </w:r>
          </w:p>
        </w:tc>
      </w:tr>
      <w:tr>
        <w:trPr>
          <w:cantSplit/>
        </w:trPr>
        <w:tc>
          <w:tcPr>
            <w:tcW w:type="dxa" w:w="900"/>
            <w:tcMar>
              <w:top w:type="dxa" w:w="60"/>
              <w:left w:type="dxa" w:w="100"/>
              <w:bottom w:type="dxa" w:w="60"/>
              <w:right w:type="dxa" w:w="100"/>
            </w:tcMar>
          </w:tcPr>
          <w:p>
            <w:pPr>
              <w:spacing w:after="0"/>
            </w:pPr>
            <w:r>
              <w:rPr>
                <w:sz w:val="18"/>
                <w:szCs w:val="18"/>
              </w:rPr>
              <w:t xml:space="preserve">VII</w:t>
            </w:r>
          </w:p>
        </w:tc>
        <w:tc>
          <w:tcPr>
            <w:tcW w:type="dxa" w:w="3900"/>
            <w:tcMar>
              <w:top w:type="dxa" w:w="60"/>
              <w:left w:type="dxa" w:w="100"/>
              <w:bottom w:type="dxa" w:w="60"/>
              <w:right w:type="dxa" w:w="100"/>
            </w:tcMar>
          </w:tcPr>
          <w:p>
            <w:pPr>
              <w:spacing w:after="0"/>
            </w:pPr>
            <w:r>
              <w:rPr>
                <w:sz w:val="18"/>
                <w:szCs w:val="18"/>
              </w:rPr>
              <w:t xml:space="preserve">Conservación de información y documentación</w:t>
            </w:r>
          </w:p>
        </w:tc>
        <w:tc>
          <w:tcPr>
            <w:tcW w:type="dxa" w:w="2200"/>
            <w:tcMar>
              <w:top w:type="dxa" w:w="60"/>
              <w:left w:type="dxa" w:w="100"/>
              <w:bottom w:type="dxa" w:w="60"/>
              <w:right w:type="dxa" w:w="100"/>
            </w:tcMar>
          </w:tcPr>
          <w:p>
            <w:pPr>
              <w:spacing w:after="0"/>
            </w:pPr>
            <w:r>
              <w:rPr>
                <w:sz w:val="18"/>
                <w:szCs w:val="18"/>
              </w:rPr>
              <w:t xml:space="preserve">Caps. 14 y 14.1</w:t>
            </w:r>
          </w:p>
        </w:tc>
        <w:tc>
          <w:tcPr>
            <w:tcW w:type="dxa" w:w="2500"/>
            <w:tcMar>
              <w:top w:type="dxa" w:w="60"/>
              <w:left w:type="dxa" w:w="100"/>
              <w:bottom w:type="dxa" w:w="60"/>
              <w:right w:type="dxa" w:w="100"/>
            </w:tcMar>
          </w:tcPr>
          <w:p>
            <w:pPr>
              <w:spacing w:after="0"/>
            </w:pPr>
            <w:r>
              <w:rPr>
                <w:sz w:val="18"/>
                <w:szCs w:val="18"/>
              </w:rPr>
              <w:t xml:space="preserve">D10</w:t>
            </w:r>
          </w:p>
        </w:tc>
      </w:tr>
      <w:tr>
        <w:trPr>
          <w:cantSplit/>
        </w:trPr>
        <w:tc>
          <w:tcPr>
            <w:tcW w:type="dxa" w:w="900"/>
            <w:tcMar>
              <w:top w:type="dxa" w:w="60"/>
              <w:left w:type="dxa" w:w="100"/>
              <w:bottom w:type="dxa" w:w="60"/>
              <w:right w:type="dxa" w:w="100"/>
            </w:tcMar>
          </w:tcPr>
          <w:p>
            <w:pPr>
              <w:spacing w:after="0"/>
            </w:pPr>
            <w:r>
              <w:rPr>
                <w:sz w:val="18"/>
                <w:szCs w:val="18"/>
              </w:rPr>
              <w:t xml:space="preserve">VIII</w:t>
            </w:r>
          </w:p>
        </w:tc>
        <w:tc>
          <w:tcPr>
            <w:tcW w:type="dxa" w:w="3900"/>
            <w:tcMar>
              <w:top w:type="dxa" w:w="60"/>
              <w:left w:type="dxa" w:w="100"/>
              <w:bottom w:type="dxa" w:w="60"/>
              <w:right w:type="dxa" w:w="100"/>
            </w:tcMar>
          </w:tcPr>
          <w:p>
            <w:pPr>
              <w:spacing w:after="0"/>
            </w:pPr>
            <w:r>
              <w:rPr>
                <w:sz w:val="18"/>
                <w:szCs w:val="18"/>
              </w:rPr>
              <w:t xml:space="preserve">Seguimiento y acumulación de actos u operaciones</w:t>
            </w:r>
          </w:p>
        </w:tc>
        <w:tc>
          <w:tcPr>
            <w:tcW w:type="dxa" w:w="2200"/>
            <w:tcMar>
              <w:top w:type="dxa" w:w="60"/>
              <w:left w:type="dxa" w:w="100"/>
              <w:bottom w:type="dxa" w:w="60"/>
              <w:right w:type="dxa" w:w="100"/>
            </w:tcMar>
          </w:tcPr>
          <w:p>
            <w:pPr>
              <w:spacing w:after="0"/>
            </w:pPr>
            <w:r>
              <w:rPr>
                <w:sz w:val="18"/>
                <w:szCs w:val="18"/>
              </w:rPr>
              <w:t xml:space="preserve">Cap. 13</w:t>
            </w:r>
          </w:p>
        </w:tc>
        <w:tc>
          <w:tcPr>
            <w:tcW w:type="dxa" w:w="2500"/>
            <w:tcMar>
              <w:top w:type="dxa" w:w="60"/>
              <w:left w:type="dxa" w:w="100"/>
              <w:bottom w:type="dxa" w:w="60"/>
              <w:right w:type="dxa" w:w="100"/>
            </w:tcMar>
          </w:tcPr>
          <w:p>
            <w:pPr>
              <w:spacing w:after="0"/>
            </w:pPr>
            <w:r>
              <w:rPr>
                <w:sz w:val="18"/>
                <w:szCs w:val="18"/>
              </w:rPr>
              <w:t xml:space="preserve">D12</w:t>
            </w:r>
          </w:p>
        </w:tc>
      </w:tr>
      <w:tr>
        <w:trPr>
          <w:cantSplit/>
        </w:trPr>
        <w:tc>
          <w:tcPr>
            <w:tcW w:type="dxa" w:w="900"/>
            <w:tcMar>
              <w:top w:type="dxa" w:w="60"/>
              <w:left w:type="dxa" w:w="100"/>
              <w:bottom w:type="dxa" w:w="60"/>
              <w:right w:type="dxa" w:w="100"/>
            </w:tcMar>
          </w:tcPr>
          <w:p>
            <w:pPr>
              <w:spacing w:after="0"/>
            </w:pPr>
            <w:r>
              <w:rPr>
                <w:sz w:val="18"/>
                <w:szCs w:val="18"/>
              </w:rPr>
              <w:t xml:space="preserve">IX</w:t>
            </w:r>
          </w:p>
        </w:tc>
        <w:tc>
          <w:tcPr>
            <w:tcW w:type="dxa" w:w="3900"/>
            <w:tcMar>
              <w:top w:type="dxa" w:w="60"/>
              <w:left w:type="dxa" w:w="100"/>
              <w:bottom w:type="dxa" w:w="60"/>
              <w:right w:type="dxa" w:w="100"/>
            </w:tcMar>
          </w:tcPr>
          <w:p>
            <w:pPr>
              <w:spacing w:after="0"/>
            </w:pPr>
            <w:r>
              <w:rPr>
                <w:sz w:val="18"/>
                <w:szCs w:val="18"/>
              </w:rPr>
              <w:t xml:space="preserve">Identificación de personas en listas</w:t>
            </w:r>
          </w:p>
        </w:tc>
        <w:tc>
          <w:tcPr>
            <w:tcW w:type="dxa" w:w="2200"/>
            <w:tcMar>
              <w:top w:type="dxa" w:w="60"/>
              <w:left w:type="dxa" w:w="100"/>
              <w:bottom w:type="dxa" w:w="60"/>
              <w:right w:type="dxa" w:w="100"/>
            </w:tcMar>
          </w:tcPr>
          <w:p>
            <w:pPr>
              <w:spacing w:after="0"/>
            </w:pPr>
            <w:r>
              <w:rPr>
                <w:sz w:val="18"/>
                <w:szCs w:val="18"/>
              </w:rPr>
              <w:t xml:space="preserve">Caps. 15 y 15.1</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X</w:t>
            </w:r>
          </w:p>
        </w:tc>
        <w:tc>
          <w:tcPr>
            <w:tcW w:type="dxa" w:w="3900"/>
            <w:tcMar>
              <w:top w:type="dxa" w:w="60"/>
              <w:left w:type="dxa" w:w="100"/>
              <w:bottom w:type="dxa" w:w="60"/>
              <w:right w:type="dxa" w:w="100"/>
            </w:tcMar>
          </w:tcPr>
          <w:p>
            <w:pPr>
              <w:spacing w:after="0"/>
            </w:pPr>
            <w:r>
              <w:rPr>
                <w:sz w:val="18"/>
                <w:szCs w:val="18"/>
              </w:rPr>
              <w:t xml:space="preserve">Funciones y responsabilidades del Representante Encargado de Cumplimiento</w:t>
            </w:r>
          </w:p>
        </w:tc>
        <w:tc>
          <w:tcPr>
            <w:tcW w:type="dxa" w:w="2200"/>
            <w:tcMar>
              <w:top w:type="dxa" w:w="60"/>
              <w:left w:type="dxa" w:w="100"/>
              <w:bottom w:type="dxa" w:w="60"/>
              <w:right w:type="dxa" w:w="100"/>
            </w:tcMar>
          </w:tcPr>
          <w:p>
            <w:pPr>
              <w:spacing w:after="0"/>
            </w:pPr>
            <w:r>
              <w:rPr>
                <w:sz w:val="18"/>
                <w:szCs w:val="18"/>
              </w:rPr>
              <w:t xml:space="preserve">Caps. 3.1 y 3.1.1</w:t>
            </w:r>
          </w:p>
        </w:tc>
        <w:tc>
          <w:tcPr>
            <w:tcW w:type="dxa" w:w="2500"/>
            <w:tcMar>
              <w:top w:type="dxa" w:w="60"/>
              <w:left w:type="dxa" w:w="100"/>
              <w:bottom w:type="dxa" w:w="60"/>
              <w:right w:type="dxa" w:w="100"/>
            </w:tcMar>
          </w:tcPr>
          <w:p>
            <w:pPr>
              <w:spacing w:after="0"/>
            </w:pPr>
            <w:r>
              <w:rPr>
                <w:sz w:val="18"/>
                <w:szCs w:val="18"/>
              </w:rPr>
              <w:t xml:space="preserve">D2</w:t>
            </w:r>
          </w:p>
        </w:tc>
      </w:tr>
      <w:tr>
        <w:trPr>
          <w:cantSplit/>
        </w:trPr>
        <w:tc>
          <w:tcPr>
            <w:tcW w:type="dxa" w:w="900"/>
            <w:tcMar>
              <w:top w:type="dxa" w:w="60"/>
              <w:left w:type="dxa" w:w="100"/>
              <w:bottom w:type="dxa" w:w="60"/>
              <w:right w:type="dxa" w:w="100"/>
            </w:tcMar>
          </w:tcPr>
          <w:p>
            <w:pPr>
              <w:spacing w:after="0"/>
            </w:pPr>
            <w:r>
              <w:rPr>
                <w:sz w:val="18"/>
                <w:szCs w:val="18"/>
              </w:rPr>
              <w:t xml:space="preserve">XI</w:t>
            </w:r>
          </w:p>
        </w:tc>
        <w:tc>
          <w:tcPr>
            <w:tcW w:type="dxa" w:w="3900"/>
            <w:tcMar>
              <w:top w:type="dxa" w:w="60"/>
              <w:left w:type="dxa" w:w="100"/>
              <w:bottom w:type="dxa" w:w="60"/>
              <w:right w:type="dxa" w:w="100"/>
            </w:tcMar>
          </w:tcPr>
          <w:p>
            <w:pPr>
              <w:spacing w:after="0"/>
            </w:pPr>
            <w:r>
              <w:rPr>
                <w:sz w:val="18"/>
                <w:szCs w:val="18"/>
              </w:rPr>
              <w:t xml:space="preserve">Programas de capacitación</w:t>
            </w:r>
          </w:p>
        </w:tc>
        <w:tc>
          <w:tcPr>
            <w:tcW w:type="dxa" w:w="2200"/>
            <w:tcMar>
              <w:top w:type="dxa" w:w="60"/>
              <w:left w:type="dxa" w:w="100"/>
              <w:bottom w:type="dxa" w:w="60"/>
              <w:right w:type="dxa" w:w="100"/>
            </w:tcMar>
          </w:tcPr>
          <w:p>
            <w:pPr>
              <w:spacing w:after="0"/>
            </w:pPr>
            <w:r>
              <w:rPr>
                <w:sz w:val="18"/>
                <w:szCs w:val="18"/>
              </w:rPr>
              <w:t xml:space="preserve">Caps. 17 y 17.1</w:t>
            </w:r>
          </w:p>
        </w:tc>
        <w:tc>
          <w:tcPr>
            <w:tcW w:type="dxa" w:w="2500"/>
            <w:tcMar>
              <w:top w:type="dxa" w:w="60"/>
              <w:left w:type="dxa" w:w="100"/>
              <w:bottom w:type="dxa" w:w="60"/>
              <w:right w:type="dxa" w:w="100"/>
            </w:tcMar>
          </w:tcPr>
          <w:p>
            <w:pPr>
              <w:spacing w:after="0"/>
            </w:pPr>
            <w:r>
              <w:rPr>
                <w:sz w:val="18"/>
                <w:szCs w:val="18"/>
              </w:rPr>
              <w:t xml:space="preserve">D11, D11B, D11C</w:t>
            </w:r>
          </w:p>
        </w:tc>
      </w:tr>
      <w:tr>
        <w:trPr>
          <w:cantSplit/>
        </w:trPr>
        <w:tc>
          <w:tcPr>
            <w:tcW w:type="dxa" w:w="900"/>
            <w:tcMar>
              <w:top w:type="dxa" w:w="60"/>
              <w:left w:type="dxa" w:w="100"/>
              <w:bottom w:type="dxa" w:w="60"/>
              <w:right w:type="dxa" w:w="100"/>
            </w:tcMar>
          </w:tcPr>
          <w:p>
            <w:pPr>
              <w:spacing w:after="0"/>
            </w:pPr>
            <w:r>
              <w:rPr>
                <w:sz w:val="18"/>
                <w:szCs w:val="18"/>
              </w:rPr>
              <w:t xml:space="preserve">XII</w:t>
            </w:r>
          </w:p>
        </w:tc>
        <w:tc>
          <w:tcPr>
            <w:tcW w:type="dxa" w:w="3900"/>
            <w:tcMar>
              <w:top w:type="dxa" w:w="60"/>
              <w:left w:type="dxa" w:w="100"/>
              <w:bottom w:type="dxa" w:w="60"/>
              <w:right w:type="dxa" w:w="100"/>
            </w:tcMar>
          </w:tcPr>
          <w:p>
            <w:pPr>
              <w:spacing w:after="0"/>
            </w:pPr>
            <w:r>
              <w:rPr>
                <w:sz w:val="18"/>
                <w:szCs w:val="18"/>
              </w:rPr>
              <w:t xml:space="preserve">Control interno, supervisión y auditoría</w:t>
            </w:r>
          </w:p>
        </w:tc>
        <w:tc>
          <w:tcPr>
            <w:tcW w:type="dxa" w:w="2200"/>
            <w:tcMar>
              <w:top w:type="dxa" w:w="60"/>
              <w:left w:type="dxa" w:w="100"/>
              <w:bottom w:type="dxa" w:w="60"/>
              <w:right w:type="dxa" w:w="100"/>
            </w:tcMar>
          </w:tcPr>
          <w:p>
            <w:pPr>
              <w:spacing w:after="0"/>
            </w:pPr>
            <w:r>
              <w:rPr>
                <w:sz w:val="18"/>
                <w:szCs w:val="18"/>
              </w:rPr>
              <w:t xml:space="preserve">Caps. 18, 19 y 19.1</w:t>
            </w:r>
          </w:p>
        </w:tc>
        <w:tc>
          <w:tcPr>
            <w:tcW w:type="dxa" w:w="2500"/>
            <w:tcMar>
              <w:top w:type="dxa" w:w="60"/>
              <w:left w:type="dxa" w:w="100"/>
              <w:bottom w:type="dxa" w:w="60"/>
              <w:right w:type="dxa" w:w="100"/>
            </w:tcMar>
          </w:tcPr>
          <w:p>
            <w:pPr>
              <w:spacing w:after="0"/>
            </w:pPr>
            <w:r>
              <w:rPr>
                <w:sz w:val="18"/>
                <w:szCs w:val="18"/>
              </w:rPr>
              <w:t xml:space="preserve">D13</w:t>
            </w:r>
          </w:p>
        </w:tc>
      </w:tr>
      <w:tr>
        <w:trPr>
          <w:cantSplit/>
        </w:trPr>
        <w:tc>
          <w:tcPr>
            <w:tcW w:type="dxa" w:w="900"/>
            <w:tcMar>
              <w:top w:type="dxa" w:w="60"/>
              <w:left w:type="dxa" w:w="100"/>
              <w:bottom w:type="dxa" w:w="60"/>
              <w:right w:type="dxa" w:w="100"/>
            </w:tcMar>
          </w:tcPr>
          <w:p>
            <w:pPr>
              <w:spacing w:after="0"/>
            </w:pPr>
            <w:r>
              <w:rPr>
                <w:sz w:val="18"/>
                <w:szCs w:val="18"/>
              </w:rPr>
              <w:t xml:space="preserve">XIII</w:t>
            </w:r>
          </w:p>
        </w:tc>
        <w:tc>
          <w:tcPr>
            <w:tcW w:type="dxa" w:w="3900"/>
            <w:tcMar>
              <w:top w:type="dxa" w:w="60"/>
              <w:left w:type="dxa" w:w="100"/>
              <w:bottom w:type="dxa" w:w="60"/>
              <w:right w:type="dxa" w:w="100"/>
            </w:tcMar>
          </w:tcPr>
          <w:p>
            <w:pPr>
              <w:spacing w:after="0"/>
            </w:pPr>
            <w:r>
              <w:rPr>
                <w:sz w:val="18"/>
                <w:szCs w:val="18"/>
              </w:rPr>
              <w:t xml:space="preserve">Confidencialidad de la información</w:t>
            </w:r>
          </w:p>
        </w:tc>
        <w:tc>
          <w:tcPr>
            <w:tcW w:type="dxa" w:w="2200"/>
            <w:tcMar>
              <w:top w:type="dxa" w:w="60"/>
              <w:left w:type="dxa" w:w="100"/>
              <w:bottom w:type="dxa" w:w="60"/>
              <w:right w:type="dxa" w:w="100"/>
            </w:tcMar>
          </w:tcPr>
          <w:p>
            <w:pPr>
              <w:spacing w:after="0"/>
            </w:pPr>
            <w:r>
              <w:rPr>
                <w:sz w:val="18"/>
                <w:szCs w:val="18"/>
              </w:rPr>
              <w:t xml:space="preserve">Caps. 20 y 20.1</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XIV</w:t>
            </w:r>
          </w:p>
        </w:tc>
        <w:tc>
          <w:tcPr>
            <w:tcW w:type="dxa" w:w="3900"/>
            <w:tcMar>
              <w:top w:type="dxa" w:w="60"/>
              <w:left w:type="dxa" w:w="100"/>
              <w:bottom w:type="dxa" w:w="60"/>
              <w:right w:type="dxa" w:w="100"/>
            </w:tcMar>
          </w:tcPr>
          <w:p>
            <w:pPr>
              <w:spacing w:after="0"/>
            </w:pPr>
            <w:r>
              <w:rPr>
                <w:sz w:val="18"/>
                <w:szCs w:val="18"/>
              </w:rPr>
              <w:t xml:space="preserve">Actualización del Manual</w:t>
            </w:r>
          </w:p>
        </w:tc>
        <w:tc>
          <w:tcPr>
            <w:tcW w:type="dxa" w:w="2200"/>
            <w:tcMar>
              <w:top w:type="dxa" w:w="60"/>
              <w:left w:type="dxa" w:w="100"/>
              <w:bottom w:type="dxa" w:w="60"/>
              <w:right w:type="dxa" w:w="100"/>
            </w:tcMar>
          </w:tcPr>
          <w:p>
            <w:pPr>
              <w:spacing w:after="0"/>
            </w:pPr>
            <w:r>
              <w:rPr>
                <w:sz w:val="18"/>
                <w:szCs w:val="18"/>
              </w:rPr>
              <w:t xml:space="preserve">Caps. 22 y 22.1; Anexo D</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Art. 37, 3er párr.</w:t>
            </w:r>
          </w:p>
        </w:tc>
        <w:tc>
          <w:tcPr>
            <w:tcW w:type="dxa" w:w="3900"/>
            <w:tcMar>
              <w:top w:type="dxa" w:w="60"/>
              <w:left w:type="dxa" w:w="100"/>
              <w:bottom w:type="dxa" w:w="60"/>
              <w:right w:type="dxa" w:w="100"/>
            </w:tcMar>
          </w:tcPr>
          <w:p>
            <w:pPr>
              <w:spacing w:after="0"/>
            </w:pPr>
            <w:r>
              <w:rPr>
                <w:sz w:val="18"/>
                <w:szCs w:val="18"/>
              </w:rPr>
              <w:t xml:space="preserve">Apertura, limitación y terminación de relaciones comerciales</w:t>
            </w:r>
          </w:p>
        </w:tc>
        <w:tc>
          <w:tcPr>
            <w:tcW w:type="dxa" w:w="2200"/>
            <w:tcMar>
              <w:top w:type="dxa" w:w="60"/>
              <w:left w:type="dxa" w:w="100"/>
              <w:bottom w:type="dxa" w:w="60"/>
              <w:right w:type="dxa" w:w="100"/>
            </w:tcMar>
          </w:tcPr>
          <w:p>
            <w:pPr>
              <w:spacing w:after="0"/>
            </w:pPr>
            <w:r>
              <w:rPr>
                <w:sz w:val="18"/>
                <w:szCs w:val="18"/>
              </w:rPr>
              <w:t xml:space="preserve">Cap. 16</w:t>
            </w:r>
          </w:p>
        </w:tc>
        <w:tc>
          <w:tcPr>
            <w:tcW w:type="dxa" w:w="2500"/>
            <w:tcMar>
              <w:top w:type="dxa" w:w="60"/>
              <w:left w:type="dxa" w:w="100"/>
              <w:bottom w:type="dxa" w:w="60"/>
              <w:right w:type="dxa" w:w="100"/>
            </w:tcMar>
          </w:tcPr>
          <w:p>
            <w:pPr>
              <w:spacing w:after="0"/>
            </w:pPr>
            <w:r>
              <w:rPr>
                <w:sz w:val="18"/>
                <w:szCs w:val="18"/>
              </w:rPr>
              <w:t xml:space="preserve">D6</w:t>
            </w:r>
          </w:p>
        </w:tc>
      </w:tr>
      <w:tr>
        <w:trPr>
          <w:cantSplit/>
        </w:trPr>
        <w:tc>
          <w:tcPr>
            <w:tcW w:type="dxa" w:w="900"/>
            <w:tcMar>
              <w:top w:type="dxa" w:w="60"/>
              <w:left w:type="dxa" w:w="100"/>
              <w:bottom w:type="dxa" w:w="60"/>
              <w:right w:type="dxa" w:w="100"/>
            </w:tcMar>
          </w:tcPr>
          <w:p>
            <w:pPr>
              <w:spacing w:after="0"/>
            </w:pPr>
            <w:r>
              <w:rPr>
                <w:sz w:val="18"/>
                <w:szCs w:val="18"/>
              </w:rPr>
              <w:t xml:space="preserve">37 Bis 1</w:t>
            </w:r>
          </w:p>
        </w:tc>
        <w:tc>
          <w:tcPr>
            <w:tcW w:type="dxa" w:w="3900"/>
            <w:tcMar>
              <w:top w:type="dxa" w:w="60"/>
              <w:left w:type="dxa" w:w="100"/>
              <w:bottom w:type="dxa" w:w="60"/>
              <w:right w:type="dxa" w:w="100"/>
            </w:tcMar>
          </w:tcPr>
          <w:p>
            <w:pPr>
              <w:spacing w:after="0"/>
            </w:pPr>
            <w:r>
              <w:rPr>
                <w:sz w:val="18"/>
                <w:szCs w:val="18"/>
              </w:rPr>
              <w:t xml:space="preserve">Grupo Empresarial</w:t>
            </w:r>
          </w:p>
        </w:tc>
        <w:tc>
          <w:tcPr>
            <w:tcW w:type="dxa" w:w="2200"/>
            <w:tcMar>
              <w:top w:type="dxa" w:w="60"/>
              <w:left w:type="dxa" w:w="100"/>
              <w:bottom w:type="dxa" w:w="60"/>
              <w:right w:type="dxa" w:w="100"/>
            </w:tcMar>
          </w:tcPr>
          <w:p>
            <w:pPr>
              <w:spacing w:after="0"/>
            </w:pPr>
            <w:r>
              <w:rPr>
                <w:sz w:val="18"/>
                <w:szCs w:val="18"/>
              </w:rPr>
              <w:t xml:space="preserve">Cap. 1.3</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37 Bis 2</w:t>
            </w:r>
          </w:p>
        </w:tc>
        <w:tc>
          <w:tcPr>
            <w:tcW w:type="dxa" w:w="3900"/>
            <w:tcMar>
              <w:top w:type="dxa" w:w="60"/>
              <w:left w:type="dxa" w:w="100"/>
              <w:bottom w:type="dxa" w:w="60"/>
              <w:right w:type="dxa" w:w="100"/>
            </w:tcMar>
          </w:tcPr>
          <w:p>
            <w:pPr>
              <w:spacing w:after="0"/>
            </w:pPr>
            <w:r>
              <w:rPr>
                <w:sz w:val="18"/>
                <w:szCs w:val="18"/>
              </w:rPr>
              <w:t xml:space="preserve">Supuestos que no se realizan (exención)</w:t>
            </w:r>
          </w:p>
        </w:tc>
        <w:tc>
          <w:tcPr>
            <w:tcW w:type="dxa" w:w="2200"/>
            <w:tcMar>
              <w:top w:type="dxa" w:w="60"/>
              <w:left w:type="dxa" w:w="100"/>
              <w:bottom w:type="dxa" w:w="60"/>
              <w:right w:type="dxa" w:w="100"/>
            </w:tcMar>
          </w:tcPr>
          <w:p>
            <w:pPr>
              <w:spacing w:after="0"/>
            </w:pPr>
            <w:r>
              <w:rPr>
                <w:sz w:val="18"/>
                <w:szCs w:val="18"/>
              </w:rPr>
              <w:t xml:space="preserve">Cap. 2.2</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37 Bis 3</w:t>
            </w:r>
          </w:p>
        </w:tc>
        <w:tc>
          <w:tcPr>
            <w:tcW w:type="dxa" w:w="3900"/>
            <w:tcMar>
              <w:top w:type="dxa" w:w="60"/>
              <w:left w:type="dxa" w:w="100"/>
              <w:bottom w:type="dxa" w:w="60"/>
              <w:right w:type="dxa" w:w="100"/>
            </w:tcMar>
          </w:tcPr>
          <w:p>
            <w:pPr>
              <w:spacing w:after="0"/>
            </w:pPr>
            <w:r>
              <w:rPr>
                <w:sz w:val="18"/>
                <w:szCs w:val="18"/>
              </w:rPr>
              <w:t xml:space="preserve">Modificaciones ordenadas por el SAT</w:t>
            </w:r>
          </w:p>
        </w:tc>
        <w:tc>
          <w:tcPr>
            <w:tcW w:type="dxa" w:w="2200"/>
            <w:tcMar>
              <w:top w:type="dxa" w:w="60"/>
              <w:left w:type="dxa" w:w="100"/>
              <w:bottom w:type="dxa" w:w="60"/>
              <w:right w:type="dxa" w:w="100"/>
            </w:tcMar>
          </w:tcPr>
          <w:p>
            <w:pPr>
              <w:spacing w:after="0"/>
            </w:pPr>
            <w:r>
              <w:rPr>
                <w:sz w:val="18"/>
                <w:szCs w:val="18"/>
              </w:rPr>
              <w:t xml:space="preserve">Cap. 22.1</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10 Septies</w:t>
            </w:r>
          </w:p>
        </w:tc>
        <w:tc>
          <w:tcPr>
            <w:tcW w:type="dxa" w:w="3900"/>
            <w:tcMar>
              <w:top w:type="dxa" w:w="60"/>
              <w:left w:type="dxa" w:w="100"/>
              <w:bottom w:type="dxa" w:w="60"/>
              <w:right w:type="dxa" w:w="100"/>
            </w:tcMar>
          </w:tcPr>
          <w:p>
            <w:pPr>
              <w:spacing w:after="0"/>
            </w:pPr>
            <w:r>
              <w:rPr>
                <w:sz w:val="18"/>
                <w:szCs w:val="18"/>
              </w:rPr>
              <w:t xml:space="preserve">Diseño de la metodología de evaluación de Riesgos</w:t>
            </w:r>
          </w:p>
        </w:tc>
        <w:tc>
          <w:tcPr>
            <w:tcW w:type="dxa" w:w="2200"/>
            <w:tcMar>
              <w:top w:type="dxa" w:w="60"/>
              <w:left w:type="dxa" w:w="100"/>
              <w:bottom w:type="dxa" w:w="60"/>
              <w:right w:type="dxa" w:w="100"/>
            </w:tcMar>
          </w:tcPr>
          <w:p>
            <w:pPr>
              <w:spacing w:after="0"/>
            </w:pPr>
            <w:r>
              <w:rPr>
                <w:sz w:val="18"/>
                <w:szCs w:val="18"/>
              </w:rPr>
              <w:t xml:space="preserve">Caps. 5 y 5.1</w:t>
            </w:r>
          </w:p>
        </w:tc>
        <w:tc>
          <w:tcPr>
            <w:tcW w:type="dxa" w:w="2500"/>
            <w:tcMar>
              <w:top w:type="dxa" w:w="60"/>
              <w:left w:type="dxa" w:w="100"/>
              <w:bottom w:type="dxa" w:w="60"/>
              <w:right w:type="dxa" w:w="100"/>
            </w:tcMar>
          </w:tcPr>
          <w:p>
            <w:pPr>
              <w:spacing w:after="0"/>
            </w:pPr>
            <w:r>
              <w:rPr>
                <w:sz w:val="18"/>
                <w:szCs w:val="18"/>
              </w:rPr>
              <w:t xml:space="preserve">D6</w:t>
            </w:r>
          </w:p>
        </w:tc>
      </w:tr>
      <w:tr>
        <w:trPr>
          <w:cantSplit/>
        </w:trPr>
        <w:tc>
          <w:tcPr>
            <w:tcW w:type="dxa" w:w="900"/>
            <w:tcMar>
              <w:top w:type="dxa" w:w="60"/>
              <w:left w:type="dxa" w:w="100"/>
              <w:bottom w:type="dxa" w:w="60"/>
              <w:right w:type="dxa" w:w="100"/>
            </w:tcMar>
          </w:tcPr>
          <w:p>
            <w:pPr>
              <w:spacing w:after="0"/>
            </w:pPr>
            <w:r>
              <w:rPr>
                <w:sz w:val="18"/>
                <w:szCs w:val="18"/>
              </w:rPr>
              <w:t xml:space="preserve">Art. 17</w:t>
            </w:r>
          </w:p>
        </w:tc>
        <w:tc>
          <w:tcPr>
            <w:tcW w:type="dxa" w:w="3900"/>
            <w:tcMar>
              <w:top w:type="dxa" w:w="60"/>
              <w:left w:type="dxa" w:w="100"/>
              <w:bottom w:type="dxa" w:w="60"/>
              <w:right w:type="dxa" w:w="100"/>
            </w:tcMar>
          </w:tcPr>
          <w:p>
            <w:pPr>
              <w:spacing w:after="0"/>
            </w:pPr>
            <w:r>
              <w:rPr>
                <w:sz w:val="18"/>
                <w:szCs w:val="18"/>
              </w:rPr>
              <w:t xml:space="preserve">Criterios de Riesgo bajo</w:t>
            </w:r>
          </w:p>
        </w:tc>
        <w:tc>
          <w:tcPr>
            <w:tcW w:type="dxa" w:w="2200"/>
            <w:tcMar>
              <w:top w:type="dxa" w:w="60"/>
              <w:left w:type="dxa" w:w="100"/>
              <w:bottom w:type="dxa" w:w="60"/>
              <w:right w:type="dxa" w:w="100"/>
            </w:tcMar>
          </w:tcPr>
          <w:p>
            <w:pPr>
              <w:spacing w:after="0"/>
            </w:pPr>
            <w:r>
              <w:rPr>
                <w:sz w:val="18"/>
                <w:szCs w:val="18"/>
              </w:rPr>
              <w:t xml:space="preserve">Cap. 6.1</w:t>
            </w:r>
          </w:p>
        </w:tc>
        <w:tc>
          <w:tcPr>
            <w:tcW w:type="dxa" w:w="2500"/>
            <w:tcMar>
              <w:top w:type="dxa" w:w="60"/>
              <w:left w:type="dxa" w:w="100"/>
              <w:bottom w:type="dxa" w:w="60"/>
              <w:right w:type="dxa" w:w="100"/>
            </w:tcMar>
          </w:tcPr>
          <w:p>
            <w:pPr>
              <w:spacing w:after="0"/>
            </w:pPr>
            <w:r>
              <w:rPr>
                <w:sz w:val="18"/>
                <w:szCs w:val="18"/>
              </w:rPr>
              <w:t xml:space="preserve">D6</w:t>
            </w:r>
          </w:p>
        </w:tc>
      </w:tr>
      <w:tr>
        <w:trPr>
          <w:cantSplit/>
        </w:trPr>
        <w:tc>
          <w:tcPr>
            <w:tcW w:type="dxa" w:w="900"/>
            <w:tcMar>
              <w:top w:type="dxa" w:w="60"/>
              <w:left w:type="dxa" w:w="100"/>
              <w:bottom w:type="dxa" w:w="60"/>
              <w:right w:type="dxa" w:w="100"/>
            </w:tcMar>
          </w:tcPr>
          <w:p>
            <w:pPr>
              <w:spacing w:after="0"/>
            </w:pPr>
            <w:r>
              <w:rPr>
                <w:sz w:val="18"/>
                <w:szCs w:val="18"/>
              </w:rPr>
              <w:t xml:space="preserve">Art. 18</w:t>
            </w:r>
          </w:p>
        </w:tc>
        <w:tc>
          <w:tcPr>
            <w:tcW w:type="dxa" w:w="3900"/>
            <w:tcMar>
              <w:top w:type="dxa" w:w="60"/>
              <w:left w:type="dxa" w:w="100"/>
              <w:bottom w:type="dxa" w:w="60"/>
              <w:right w:type="dxa" w:w="100"/>
            </w:tcMar>
          </w:tcPr>
          <w:p>
            <w:pPr>
              <w:spacing w:after="0"/>
            </w:pPr>
            <w:r>
              <w:rPr>
                <w:sz w:val="18"/>
                <w:szCs w:val="18"/>
              </w:rPr>
              <w:t xml:space="preserve">Actos u operaciones por medios electrónicos</w:t>
            </w:r>
          </w:p>
        </w:tc>
        <w:tc>
          <w:tcPr>
            <w:tcW w:type="dxa" w:w="2200"/>
            <w:tcMar>
              <w:top w:type="dxa" w:w="60"/>
              <w:left w:type="dxa" w:w="100"/>
              <w:bottom w:type="dxa" w:w="60"/>
              <w:right w:type="dxa" w:w="100"/>
            </w:tcMar>
          </w:tcPr>
          <w:p>
            <w:pPr>
              <w:spacing w:after="0"/>
            </w:pPr>
            <w:r>
              <w:rPr>
                <w:sz w:val="18"/>
                <w:szCs w:val="18"/>
              </w:rPr>
              <w:t xml:space="preserve">Cap. 2.4</w:t>
            </w:r>
          </w:p>
        </w:tc>
        <w:tc>
          <w:tcPr>
            <w:tcW w:type="dxa" w:w="2500"/>
            <w:tcMar>
              <w:top w:type="dxa" w:w="60"/>
              <w:left w:type="dxa" w:w="100"/>
              <w:bottom w:type="dxa" w:w="60"/>
              <w:right w:type="dxa" w:w="100"/>
            </w:tcMar>
          </w:tcPr>
          <w:p>
            <w:pPr>
              <w:spacing w:after="0"/>
            </w:pPr>
            <w:r>
              <w:rPr>
                <w:sz w:val="18"/>
                <w:szCs w:val="18"/>
              </w:rPr>
              <w:t xml:space="preserve">—</w:t>
            </w:r>
          </w:p>
        </w:tc>
      </w:tr>
      <w:tr>
        <w:trPr>
          <w:cantSplit/>
        </w:trPr>
        <w:tc>
          <w:tcPr>
            <w:tcW w:type="dxa" w:w="900"/>
            <w:tcMar>
              <w:top w:type="dxa" w:w="60"/>
              <w:left w:type="dxa" w:w="100"/>
              <w:bottom w:type="dxa" w:w="60"/>
              <w:right w:type="dxa" w:w="100"/>
            </w:tcMar>
          </w:tcPr>
          <w:p>
            <w:pPr>
              <w:spacing w:after="0"/>
            </w:pPr>
            <w:r>
              <w:rPr>
                <w:sz w:val="18"/>
                <w:szCs w:val="18"/>
              </w:rPr>
              <w:t xml:space="preserve">39 Bis 2</w:t>
            </w:r>
          </w:p>
        </w:tc>
        <w:tc>
          <w:tcPr>
            <w:tcW w:type="dxa" w:w="3900"/>
            <w:tcMar>
              <w:top w:type="dxa" w:w="60"/>
              <w:left w:type="dxa" w:w="100"/>
              <w:bottom w:type="dxa" w:w="60"/>
              <w:right w:type="dxa" w:w="100"/>
            </w:tcMar>
          </w:tcPr>
          <w:p>
            <w:pPr>
              <w:spacing w:after="0"/>
            </w:pPr>
            <w:r>
              <w:rPr>
                <w:sz w:val="18"/>
                <w:szCs w:val="18"/>
              </w:rPr>
              <w:t xml:space="preserve">Selección de personal</w:t>
            </w:r>
          </w:p>
        </w:tc>
        <w:tc>
          <w:tcPr>
            <w:tcW w:type="dxa" w:w="2200"/>
            <w:tcMar>
              <w:top w:type="dxa" w:w="60"/>
              <w:left w:type="dxa" w:w="100"/>
              <w:bottom w:type="dxa" w:w="60"/>
              <w:right w:type="dxa" w:w="100"/>
            </w:tcMar>
          </w:tcPr>
          <w:p>
            <w:pPr>
              <w:spacing w:after="0"/>
            </w:pPr>
            <w:r>
              <w:rPr>
                <w:sz w:val="18"/>
                <w:szCs w:val="18"/>
              </w:rPr>
              <w:t xml:space="preserve">Caps. 3.2 y 17</w:t>
            </w:r>
          </w:p>
        </w:tc>
        <w:tc>
          <w:tcPr>
            <w:tcW w:type="dxa" w:w="2500"/>
            <w:tcMar>
              <w:top w:type="dxa" w:w="60"/>
              <w:left w:type="dxa" w:w="100"/>
              <w:bottom w:type="dxa" w:w="60"/>
              <w:right w:type="dxa" w:w="100"/>
            </w:tcMar>
          </w:tcPr>
          <w:p>
            <w:pPr>
              <w:spacing w:after="0"/>
            </w:pPr>
            <w:r>
              <w:rPr>
                <w:sz w:val="18"/>
                <w:szCs w:val="18"/>
              </w:rPr>
              <w:t xml:space="preserve">D11D</w:t>
            </w:r>
          </w:p>
        </w:tc>
      </w:tr>
    </w:tbl>
    <w:p>
      <w:pPr>
        <w:spacing w:after="80"/>
      </w:pPr>
    </w:p>
    <w:p>
      <w:pPr>
        <w:pStyle w:val="Heading2"/>
        <w:keepNext/>
        <w:pageBreakBefore/>
        <w:spacing w:after="120" w:before="320"/>
      </w:pPr>
      <w:r>
        <w:t xml:space="preserve">Anexo B. Cuestionario de Identificación Reforzada (Arts. 23 Ter 3 y 23 Ter 4 RCG)</w:t>
      </w:r>
    </w:p>
    <w:p>
      <w:pPr>
        <w:spacing w:after="160" w:before="60"/>
      </w:pPr>
      <w:r>
        <w:rPr>
          <w:i/>
          <w:iCs/>
          <w:color w:val="666666"/>
          <w:sz w:val="19"/>
          <w:szCs w:val="19"/>
        </w:rPr>
        <w:t xml:space="preserve">Se aplica a Clientes o Usuarias de Riesgo alto al alta y en cada reevaluación. Puede llenarse a distancia, siempre con la Firma Electrónica de quien lo suscribe. Se integra al expediente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b/>
                <w:bCs/>
                <w:color w:val="FFFFFF"/>
                <w:sz w:val="18"/>
                <w:szCs w:val="18"/>
              </w:rPr>
              <w:t xml:space="preserve">Rubro</w:t>
            </w:r>
          </w:p>
        </w:tc>
        <w:tc>
          <w:tcPr>
            <w:tcW w:type="dxa" w:w="5300"/>
            <w:shd w:fill="1F3864" w:val="clear"/>
            <w:tcMar>
              <w:top w:type="dxa" w:w="60"/>
              <w:left w:type="dxa" w:w="100"/>
              <w:bottom w:type="dxa" w:w="60"/>
              <w:right w:type="dxa" w:w="100"/>
            </w:tcMar>
          </w:tcPr>
          <w:p>
            <w:pPr>
              <w:spacing w:after="0"/>
            </w:pPr>
            <w:r>
              <w:rPr>
                <w:b/>
                <w:bCs/>
                <w:color w:val="FFFFFF"/>
                <w:sz w:val="18"/>
                <w:szCs w:val="18"/>
              </w:rPr>
              <w:t xml:space="preserve">Respuesta del Cliente o Usuaria</w:t>
            </w:r>
          </w:p>
        </w:tc>
      </w:tr>
      <w:tr>
        <w:trPr>
          <w:cantSplit/>
        </w:trPr>
        <w:tc>
          <w:tcPr>
            <w:tcW w:type="dxa" w:w="4200"/>
            <w:tcMar>
              <w:top w:type="dxa" w:w="60"/>
              <w:left w:type="dxa" w:w="100"/>
              <w:bottom w:type="dxa" w:w="60"/>
              <w:right w:type="dxa" w:w="100"/>
            </w:tcMar>
          </w:tcPr>
          <w:p>
            <w:pPr>
              <w:spacing w:after="0"/>
            </w:pPr>
            <w:r>
              <w:rPr>
                <w:sz w:val="18"/>
                <w:szCs w:val="18"/>
              </w:rPr>
              <w:t xml:space="preserve">Nombre, denominación o razón social; RFC / CURP</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Actividad, ocupación o giro preponderante; empleador o principales clientes</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Ingresos o ventas anuales aproximados y su fuente</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Origen de los recursos para este acto u operación (ahorro, venta de bien, crédito, utilidades, herencia, otro) y documento que lo soporta</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Cuentas e instituciones financieras de donde provienen los recursos</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Destino de los recursos o del bien (uso propio, inversión, reventa, arrendamiento, otro)</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Actos u operaciones que estima realizar: número, frecuencia y monto máximo mensual</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Terceros que pagarán o recibirán recursos y su relación con el cliente</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Personas físicas: cónyuge y dependientes económicos (nombre, fecha de nacimiento, nacionalidad, CURP o RFC)</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Sociedades o asociaciones con vínculos patrimoniales (denominación, RFC, % de participación)</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Personas morales: principales accionistas o socios y Beneficiario Controlador (nombre, % de participación)</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¿Es o ha sido PEP, o es cónyuge, pariente hasta el segundo grado o socio de una PEP? Cargo y periodo</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No residentes: razones para realizar el acto u operación en México</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Declaro bajo protesta de decir verdad que la información es correcta y que los recursos son de procedencia lícita. Firma autógrafa o Firma Electrónica y fecha</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Revisó (nombre, firma y fecha) y conclusión: [ ] Se acepta  [ ] Se acepta con medidas adicionales  [ ] No se acepta</w:t>
            </w:r>
          </w:p>
        </w:tc>
        <w:tc>
          <w:tcPr>
            <w:tcW w:type="dxa" w:w="5300"/>
            <w:tcMar>
              <w:top w:type="dxa" w:w="60"/>
              <w:left w:type="dxa" w:w="100"/>
              <w:bottom w:type="dxa" w:w="60"/>
              <w:right w:type="dxa" w:w="100"/>
            </w:tcMar>
          </w:tcPr>
          <w:p>
            <w:pPr>
              <w:spacing w:after="0"/>
            </w:pPr>
            <w:r>
              <w:rPr>
                <w:sz w:val="18"/>
                <w:szCs w:val="18"/>
              </w:rPr>
              <w:t xml:space="preserve"/>
            </w:r>
          </w:p>
        </w:tc>
      </w:tr>
    </w:tbl>
    <w:p>
      <w:pPr>
        <w:spacing w:after="80"/>
      </w:pPr>
    </w:p>
    <w:p>
      <w:pPr>
        <w:pStyle w:val="Heading2"/>
        <w:keepNext/>
        <w:pageBreakBefore/>
        <w:spacing w:after="120" w:before="320"/>
      </w:pPr>
      <w:r>
        <w:t xml:space="preserve">Anexo C. Descripción Operativa</w:t>
      </w:r>
    </w:p>
    <w:p>
      <w:pPr>
        <w:spacing w:after="160" w:before="60"/>
      </w:pPr>
      <w:r>
        <w:rPr>
          <w:i/>
          <w:iCs/>
          <w:color w:val="666666"/>
          <w:sz w:val="19"/>
          <w:szCs w:val="19"/>
        </w:rPr>
        <w:t xml:space="preserve">Se llena antes de adoptar el Manual y se actualiza cada vez que cambie la operación. Lo firma el Representante Encargado de Cumplimiento. Su objeto es que este Manual refleje la forma en que la empresa realmente opera.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300"/>
      </w:tblGrid>
      <w:tr>
        <w:trPr>
          <w:tblHeader/>
        </w:trPr>
        <w:tc>
          <w:tcPr>
            <w:tcW w:type="dxa" w:w="4200"/>
            <w:shd w:fill="1F3864" w:val="clear"/>
            <w:tcMar>
              <w:top w:type="dxa" w:w="60"/>
              <w:left w:type="dxa" w:w="100"/>
              <w:bottom w:type="dxa" w:w="60"/>
              <w:right w:type="dxa" w:w="100"/>
            </w:tcMar>
          </w:tcPr>
          <w:p>
            <w:pPr>
              <w:spacing w:after="0"/>
            </w:pPr>
            <w:r>
              <w:rPr>
                <w:b/>
                <w:bCs/>
                <w:color w:val="FFFFFF"/>
                <w:sz w:val="18"/>
                <w:szCs w:val="18"/>
              </w:rPr>
              <w:t xml:space="preserve">Concepto</w:t>
            </w:r>
          </w:p>
        </w:tc>
        <w:tc>
          <w:tcPr>
            <w:tcW w:type="dxa" w:w="5300"/>
            <w:shd w:fill="1F3864" w:val="clear"/>
            <w:tcMar>
              <w:top w:type="dxa" w:w="60"/>
              <w:left w:type="dxa" w:w="100"/>
              <w:bottom w:type="dxa" w:w="60"/>
              <w:right w:type="dxa" w:w="100"/>
            </w:tcMar>
          </w:tcPr>
          <w:p>
            <w:pPr>
              <w:spacing w:after="0"/>
            </w:pPr>
            <w:r>
              <w:rPr>
                <w:b/>
                <w:bCs/>
                <w:color w:val="FFFFFF"/>
                <w:sz w:val="18"/>
                <w:szCs w:val="18"/>
              </w:rPr>
              <w:t xml:space="preserve">Descripción</w:t>
            </w:r>
          </w:p>
        </w:tc>
      </w:tr>
      <w:tr>
        <w:trPr>
          <w:cantSplit/>
        </w:trPr>
        <w:tc>
          <w:tcPr>
            <w:tcW w:type="dxa" w:w="4200"/>
            <w:tcMar>
              <w:top w:type="dxa" w:w="60"/>
              <w:left w:type="dxa" w:w="100"/>
              <w:bottom w:type="dxa" w:w="60"/>
              <w:right w:type="dxa" w:w="100"/>
            </w:tcMar>
          </w:tcPr>
          <w:p>
            <w:pPr>
              <w:spacing w:after="0"/>
            </w:pPr>
            <w:r>
              <w:rPr>
                <w:sz w:val="18"/>
                <w:szCs w:val="18"/>
              </w:rPr>
              <w:t xml:space="preserve">Actividades que se realizan (fracciones o incisos del Art. 17)</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Oficinas, sucursales o plazas donde se opera</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Áreas que intervienen y número de personas en cada una</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Canales de captación y de formalización (presencial, intermediarios, medios electrónicos)</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Volumen anual aproximado: clientes, actos u operaciones y monto</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Formas de pago que se aceptan</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Sistemas o herramientas para expedientes, alertas y control de Avisos</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Responsable del cumplimiento, suplente y personas autorizadas para acceder a expedientes</w:t>
            </w:r>
          </w:p>
        </w:tc>
        <w:tc>
          <w:tcPr>
            <w:tcW w:type="dxa" w:w="5300"/>
            <w:tcMar>
              <w:top w:type="dxa" w:w="60"/>
              <w:left w:type="dxa" w:w="100"/>
              <w:bottom w:type="dxa" w:w="60"/>
              <w:right w:type="dxa" w:w="100"/>
            </w:tcMar>
          </w:tcPr>
          <w:p>
            <w:pPr>
              <w:spacing w:after="0"/>
            </w:pPr>
            <w:r>
              <w:rPr>
                <w:sz w:val="18"/>
                <w:szCs w:val="18"/>
              </w:rPr>
              <w:t xml:space="preserve"/>
            </w:r>
          </w:p>
        </w:tc>
      </w:tr>
      <w:tr>
        <w:trPr>
          <w:cantSplit/>
        </w:trPr>
        <w:tc>
          <w:tcPr>
            <w:tcW w:type="dxa" w:w="4200"/>
            <w:tcMar>
              <w:top w:type="dxa" w:w="60"/>
              <w:left w:type="dxa" w:w="100"/>
              <w:bottom w:type="dxa" w:w="60"/>
              <w:right w:type="dxa" w:w="100"/>
            </w:tcMar>
          </w:tcPr>
          <w:p>
            <w:pPr>
              <w:spacing w:after="0"/>
            </w:pPr>
            <w:r>
              <w:rPr>
                <w:sz w:val="18"/>
                <w:szCs w:val="18"/>
              </w:rPr>
              <w:t xml:space="preserve">Flujo del acto u operación: 1) captación → 2) identificación y expediente → 3) clasificación de Riesgo y consulta de listas/PEP → 4) verificación previa → 5) formalización y recepción de recursos → 6) Aviso o informe y resguardo (responsable de cada paso)</w:t>
            </w:r>
          </w:p>
        </w:tc>
        <w:tc>
          <w:tcPr>
            <w:tcW w:type="dxa" w:w="5300"/>
            <w:tcMar>
              <w:top w:type="dxa" w:w="60"/>
              <w:left w:type="dxa" w:w="100"/>
              <w:bottom w:type="dxa" w:w="60"/>
              <w:right w:type="dxa" w:w="100"/>
            </w:tcMar>
          </w:tcPr>
          <w:p>
            <w:pPr>
              <w:spacing w:after="0"/>
            </w:pPr>
            <w:r>
              <w:rPr>
                <w:sz w:val="18"/>
                <w:szCs w:val="18"/>
              </w:rPr>
              <w:t xml:space="preserve"/>
            </w:r>
          </w:p>
        </w:tc>
      </w:tr>
    </w:tbl>
    <w:p>
      <w:pPr>
        <w:spacing w:after="80"/>
      </w:pPr>
    </w:p>
    <w:p>
      <w:pPr>
        <w:pStyle w:val="Heading2"/>
        <w:keepNext/>
        <w:pageBreakBefore/>
        <w:spacing w:after="120" w:before="320"/>
      </w:pPr>
      <w:r>
        <w:t xml:space="preserve">Anexo D. Control de versiones y acuse de difusión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00"/>
        <w:gridCol w:w="4100"/>
        <w:gridCol w:w="2200"/>
      </w:tblGrid>
      <w:tr>
        <w:trPr>
          <w:tblHeader/>
        </w:trPr>
        <w:tc>
          <w:tcPr>
            <w:tcW w:type="dxa" w:w="1300"/>
            <w:shd w:fill="1F3864" w:val="clear"/>
            <w:tcMar>
              <w:top w:type="dxa" w:w="60"/>
              <w:left w:type="dxa" w:w="100"/>
              <w:bottom w:type="dxa" w:w="60"/>
              <w:right w:type="dxa" w:w="100"/>
            </w:tcMar>
          </w:tcPr>
          <w:p>
            <w:pPr>
              <w:spacing w:after="0"/>
            </w:pPr>
            <w:r>
              <w:rPr>
                <w:b/>
                <w:bCs/>
                <w:color w:val="FFFFFF"/>
                <w:sz w:val="18"/>
                <w:szCs w:val="18"/>
              </w:rPr>
              <w:t xml:space="preserve">Versión</w:t>
            </w:r>
          </w:p>
        </w:tc>
        <w:tc>
          <w:tcPr>
            <w:tcW w:type="dxa" w:w="1900"/>
            <w:shd w:fill="1F3864" w:val="clear"/>
            <w:tcMar>
              <w:top w:type="dxa" w:w="60"/>
              <w:left w:type="dxa" w:w="100"/>
              <w:bottom w:type="dxa" w:w="60"/>
              <w:right w:type="dxa" w:w="100"/>
            </w:tcMar>
          </w:tcPr>
          <w:p>
            <w:pPr>
              <w:spacing w:after="0"/>
            </w:pPr>
            <w:r>
              <w:rPr>
                <w:b/>
                <w:bCs/>
                <w:color w:val="FFFFFF"/>
                <w:sz w:val="18"/>
                <w:szCs w:val="18"/>
              </w:rPr>
              <w:t xml:space="preserve">Fecha de aprobación</w:t>
            </w:r>
          </w:p>
        </w:tc>
        <w:tc>
          <w:tcPr>
            <w:tcW w:type="dxa" w:w="4100"/>
            <w:shd w:fill="1F3864" w:val="clear"/>
            <w:tcMar>
              <w:top w:type="dxa" w:w="60"/>
              <w:left w:type="dxa" w:w="100"/>
              <w:bottom w:type="dxa" w:w="60"/>
              <w:right w:type="dxa" w:w="100"/>
            </w:tcMar>
          </w:tcPr>
          <w:p>
            <w:pPr>
              <w:spacing w:after="0"/>
            </w:pPr>
            <w:r>
              <w:rPr>
                <w:b/>
                <w:bCs/>
                <w:color w:val="FFFFFF"/>
                <w:sz w:val="18"/>
                <w:szCs w:val="18"/>
              </w:rPr>
              <w:t xml:space="preserve">Cambios</w:t>
            </w:r>
          </w:p>
        </w:tc>
        <w:tc>
          <w:tcPr>
            <w:tcW w:type="dxa" w:w="2200"/>
            <w:shd w:fill="1F3864" w:val="clear"/>
            <w:tcMar>
              <w:top w:type="dxa" w:w="60"/>
              <w:left w:type="dxa" w:w="100"/>
              <w:bottom w:type="dxa" w:w="60"/>
              <w:right w:type="dxa" w:w="100"/>
            </w:tcMar>
          </w:tcPr>
          <w:p>
            <w:pPr>
              <w:spacing w:after="0"/>
            </w:pPr>
            <w:r>
              <w:rPr>
                <w:b/>
                <w:bCs/>
                <w:color w:val="FFFFFF"/>
                <w:sz w:val="18"/>
                <w:szCs w:val="18"/>
              </w:rPr>
              <w:t xml:space="preserve">Aprobó</w:t>
            </w:r>
          </w:p>
        </w:tc>
      </w:tr>
      <w:tr>
        <w:trPr>
          <w:cantSplit/>
        </w:trPr>
        <w:tc>
          <w:tcPr>
            <w:tcW w:type="dxa" w:w="1300"/>
            <w:tcMar>
              <w:top w:type="dxa" w:w="60"/>
              <w:left w:type="dxa" w:w="100"/>
              <w:bottom w:type="dxa" w:w="60"/>
              <w:right w:type="dxa" w:w="100"/>
            </w:tcMar>
          </w:tcPr>
          <w:p>
            <w:pPr>
              <w:spacing w:after="0"/>
            </w:pPr>
            <w:r>
              <w:rPr>
                <w:sz w:val="18"/>
                <w:szCs w:val="18"/>
              </w:rPr>
              <w:t xml:space="preserve">[VERSION]</w:t>
            </w:r>
          </w:p>
        </w:tc>
        <w:tc>
          <w:tcPr>
            <w:tcW w:type="dxa" w:w="1900"/>
            <w:tcMar>
              <w:top w:type="dxa" w:w="60"/>
              <w:left w:type="dxa" w:w="100"/>
              <w:bottom w:type="dxa" w:w="60"/>
              <w:right w:type="dxa" w:w="100"/>
            </w:tcMar>
          </w:tcPr>
          <w:p>
            <w:pPr>
              <w:spacing w:after="0"/>
            </w:pPr>
            <w:r>
              <w:rPr>
                <w:sz w:val="18"/>
                <w:szCs w:val="18"/>
              </w:rPr>
              <w:t xml:space="preserve">[Fecha de adopción]</w:t>
            </w:r>
          </w:p>
        </w:tc>
        <w:tc>
          <w:tcPr>
            <w:tcW w:type="dxa" w:w="4100"/>
            <w:tcMar>
              <w:top w:type="dxa" w:w="60"/>
              <w:left w:type="dxa" w:w="100"/>
              <w:bottom w:type="dxa" w:w="60"/>
              <w:right w:type="dxa" w:w="100"/>
            </w:tcMar>
          </w:tcPr>
          <w:p>
            <w:pPr>
              <w:spacing w:after="0"/>
            </w:pPr>
            <w:r>
              <w:rPr>
                <w:sz w:val="18"/>
                <w:szCs w:val="18"/>
              </w:rPr>
              <w:t xml:space="preserve">Adopción inicial — plantilla Certus PLD, edición octubre 2026 (Acuerdo 115/2026; Capítulo X RCG)</w:t>
            </w:r>
          </w:p>
        </w:tc>
        <w:tc>
          <w:tcPr>
            <w:tcW w:type="dxa" w:w="2200"/>
            <w:tcMar>
              <w:top w:type="dxa" w:w="60"/>
              <w:left w:type="dxa" w:w="100"/>
              <w:bottom w:type="dxa" w:w="60"/>
              <w:right w:type="dxa" w:w="100"/>
            </w:tcMar>
          </w:tcPr>
          <w:p>
            <w:pPr>
              <w:spacing w:after="0"/>
            </w:pPr>
            <w:r>
              <w:rPr>
                <w:sz w:val="18"/>
                <w:szCs w:val="18"/>
              </w:rPr>
              <w:t xml:space="preserve"/>
            </w:r>
          </w:p>
        </w:tc>
      </w:tr>
      <w:tr>
        <w:trPr>
          <w:cantSplit/>
        </w:trPr>
        <w:tc>
          <w:tcPr>
            <w:tcW w:type="dxa" w:w="1300"/>
            <w:tcMar>
              <w:top w:type="dxa" w:w="60"/>
              <w:left w:type="dxa" w:w="100"/>
              <w:bottom w:type="dxa" w:w="60"/>
              <w:right w:type="dxa" w:w="100"/>
            </w:tcMar>
          </w:tcPr>
          <w:p>
            <w:pPr>
              <w:spacing w:after="0"/>
            </w:pPr>
            <w:r>
              <w:rPr>
                <w:sz w:val="18"/>
                <w:szCs w:val="18"/>
              </w:rPr>
              <w:t xml:space="preserve"/>
            </w:r>
          </w:p>
        </w:tc>
        <w:tc>
          <w:tcPr>
            <w:tcW w:type="dxa" w:w="1900"/>
            <w:tcMar>
              <w:top w:type="dxa" w:w="60"/>
              <w:left w:type="dxa" w:w="100"/>
              <w:bottom w:type="dxa" w:w="60"/>
              <w:right w:type="dxa" w:w="100"/>
            </w:tcMar>
          </w:tcPr>
          <w:p>
            <w:pPr>
              <w:spacing w:after="0"/>
            </w:pPr>
            <w:r>
              <w:rPr>
                <w:sz w:val="18"/>
                <w:szCs w:val="18"/>
              </w:rPr>
              <w:t xml:space="preserve"/>
            </w:r>
          </w:p>
        </w:tc>
        <w:tc>
          <w:tcPr>
            <w:tcW w:type="dxa" w:w="4100"/>
            <w:tcMar>
              <w:top w:type="dxa" w:w="60"/>
              <w:left w:type="dxa" w:w="100"/>
              <w:bottom w:type="dxa" w:w="60"/>
              <w:right w:type="dxa" w:w="100"/>
            </w:tcMar>
          </w:tcPr>
          <w:p>
            <w:pPr>
              <w:spacing w:after="0"/>
            </w:pPr>
            <w:r>
              <w:rPr>
                <w:sz w:val="18"/>
                <w:szCs w:val="18"/>
              </w:rPr>
              <w:t xml:space="preserve"/>
            </w:r>
          </w:p>
        </w:tc>
        <w:tc>
          <w:tcPr>
            <w:tcW w:type="dxa" w:w="2200"/>
            <w:tcMar>
              <w:top w:type="dxa" w:w="60"/>
              <w:left w:type="dxa" w:w="100"/>
              <w:bottom w:type="dxa" w:w="60"/>
              <w:right w:type="dxa" w:w="100"/>
            </w:tcMar>
          </w:tcPr>
          <w:p>
            <w:pPr>
              <w:spacing w:after="0"/>
            </w:pPr>
            <w:r>
              <w:rPr>
                <w:sz w:val="18"/>
                <w:szCs w:val="18"/>
              </w:rPr>
              <w:t xml:space="preserve"/>
            </w:r>
          </w:p>
        </w:tc>
      </w:tr>
      <w:tr>
        <w:trPr>
          <w:cantSplit/>
        </w:trPr>
        <w:tc>
          <w:tcPr>
            <w:tcW w:type="dxa" w:w="1300"/>
            <w:tcMar>
              <w:top w:type="dxa" w:w="60"/>
              <w:left w:type="dxa" w:w="100"/>
              <w:bottom w:type="dxa" w:w="60"/>
              <w:right w:type="dxa" w:w="100"/>
            </w:tcMar>
          </w:tcPr>
          <w:p>
            <w:pPr>
              <w:spacing w:after="0"/>
            </w:pPr>
            <w:r>
              <w:rPr>
                <w:sz w:val="18"/>
                <w:szCs w:val="18"/>
              </w:rPr>
              <w:t xml:space="preserve"/>
            </w:r>
          </w:p>
        </w:tc>
        <w:tc>
          <w:tcPr>
            <w:tcW w:type="dxa" w:w="1900"/>
            <w:tcMar>
              <w:top w:type="dxa" w:w="60"/>
              <w:left w:type="dxa" w:w="100"/>
              <w:bottom w:type="dxa" w:w="60"/>
              <w:right w:type="dxa" w:w="100"/>
            </w:tcMar>
          </w:tcPr>
          <w:p>
            <w:pPr>
              <w:spacing w:after="0"/>
            </w:pPr>
            <w:r>
              <w:rPr>
                <w:sz w:val="18"/>
                <w:szCs w:val="18"/>
              </w:rPr>
              <w:t xml:space="preserve"/>
            </w:r>
          </w:p>
        </w:tc>
        <w:tc>
          <w:tcPr>
            <w:tcW w:type="dxa" w:w="4100"/>
            <w:tcMar>
              <w:top w:type="dxa" w:w="60"/>
              <w:left w:type="dxa" w:w="100"/>
              <w:bottom w:type="dxa" w:w="60"/>
              <w:right w:type="dxa" w:w="100"/>
            </w:tcMar>
          </w:tcPr>
          <w:p>
            <w:pPr>
              <w:spacing w:after="0"/>
            </w:pPr>
            <w:r>
              <w:rPr>
                <w:sz w:val="18"/>
                <w:szCs w:val="18"/>
              </w:rPr>
              <w:t xml:space="preserve"/>
            </w:r>
          </w:p>
        </w:tc>
        <w:tc>
          <w:tcPr>
            <w:tcW w:type="dxa" w:w="2200"/>
            <w:tcMar>
              <w:top w:type="dxa" w:w="60"/>
              <w:left w:type="dxa" w:w="100"/>
              <w:bottom w:type="dxa" w:w="60"/>
              <w:right w:type="dxa" w:w="100"/>
            </w:tcMar>
          </w:tcPr>
          <w:p>
            <w:pPr>
              <w:spacing w:after="0"/>
            </w:pPr>
            <w:r>
              <w:rPr>
                <w:sz w:val="18"/>
                <w:szCs w:val="18"/>
              </w:rPr>
              <w:t xml:space="preserve"/>
            </w:r>
          </w:p>
        </w:tc>
      </w:tr>
    </w:tbl>
    <w:p>
      <w:pPr>
        <w:spacing w:after="80"/>
      </w:pPr>
    </w:p>
    <w:p>
      <w:pPr>
        <w:spacing w:after="120"/>
      </w:pPr>
      <w:r>
        <w:rPr>
          <w:sz w:val="20"/>
          <w:szCs w:val="20"/>
        </w:rPr>
        <w:t xml:space="preserve">Acuse de recepción y lectura. Las personas abajo firmantes recibimos la versión vigente de este Manual, la leímos y nos comprometemos a cumplirla: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600"/>
        <w:gridCol w:w="1600"/>
        <w:gridCol w:w="2000"/>
      </w:tblGrid>
      <w:tr>
        <w:trPr>
          <w:tblHeader/>
        </w:trPr>
        <w:tc>
          <w:tcPr>
            <w:tcW w:type="dxa" w:w="3300"/>
            <w:shd w:fill="1F3864" w:val="clear"/>
            <w:tcMar>
              <w:top w:type="dxa" w:w="60"/>
              <w:left w:type="dxa" w:w="100"/>
              <w:bottom w:type="dxa" w:w="60"/>
              <w:right w:type="dxa" w:w="100"/>
            </w:tcMar>
          </w:tcPr>
          <w:p>
            <w:pPr>
              <w:spacing w:after="0"/>
            </w:pPr>
            <w:r>
              <w:rPr>
                <w:b/>
                <w:bCs/>
                <w:color w:val="FFFFFF"/>
                <w:sz w:val="18"/>
                <w:szCs w:val="18"/>
              </w:rPr>
              <w:t xml:space="preserve">Nombre completo</w:t>
            </w:r>
          </w:p>
        </w:tc>
        <w:tc>
          <w:tcPr>
            <w:tcW w:type="dxa" w:w="2600"/>
            <w:shd w:fill="1F3864" w:val="clear"/>
            <w:tcMar>
              <w:top w:type="dxa" w:w="60"/>
              <w:left w:type="dxa" w:w="100"/>
              <w:bottom w:type="dxa" w:w="60"/>
              <w:right w:type="dxa" w:w="100"/>
            </w:tcMar>
          </w:tcPr>
          <w:p>
            <w:pPr>
              <w:spacing w:after="0"/>
            </w:pPr>
            <w:r>
              <w:rPr>
                <w:b/>
                <w:bCs/>
                <w:color w:val="FFFFFF"/>
                <w:sz w:val="18"/>
                <w:szCs w:val="18"/>
              </w:rPr>
              <w:t xml:space="preserve">Puesto</w:t>
            </w:r>
          </w:p>
        </w:tc>
        <w:tc>
          <w:tcPr>
            <w:tcW w:type="dxa" w:w="1600"/>
            <w:shd w:fill="1F3864" w:val="clear"/>
            <w:tcMar>
              <w:top w:type="dxa" w:w="60"/>
              <w:left w:type="dxa" w:w="100"/>
              <w:bottom w:type="dxa" w:w="60"/>
              <w:right w:type="dxa" w:w="100"/>
            </w:tcMar>
          </w:tcPr>
          <w:p>
            <w:pPr>
              <w:spacing w:after="0"/>
            </w:pPr>
            <w:r>
              <w:rPr>
                <w:b/>
                <w:bCs/>
                <w:color w:val="FFFFFF"/>
                <w:sz w:val="18"/>
                <w:szCs w:val="18"/>
              </w:rPr>
              <w:t xml:space="preserve">Fecha</w:t>
            </w:r>
          </w:p>
        </w:tc>
        <w:tc>
          <w:tcPr>
            <w:tcW w:type="dxa" w:w="2000"/>
            <w:shd w:fill="1F3864" w:val="clear"/>
            <w:tcMar>
              <w:top w:type="dxa" w:w="60"/>
              <w:left w:type="dxa" w:w="100"/>
              <w:bottom w:type="dxa" w:w="60"/>
              <w:right w:type="dxa" w:w="100"/>
            </w:tcMar>
          </w:tcPr>
          <w:p>
            <w:pPr>
              <w:spacing w:after="0"/>
            </w:pPr>
            <w:r>
              <w:rPr>
                <w:b/>
                <w:bCs/>
                <w:color w:val="FFFFFF"/>
                <w:sz w:val="18"/>
                <w:szCs w:val="18"/>
              </w:rPr>
              <w:t xml:space="preserve">Firma</w:t>
            </w:r>
          </w:p>
        </w:tc>
      </w:tr>
      <w:tr>
        <w:trPr>
          <w:cantSplit/>
        </w:trPr>
        <w:tc>
          <w:tcPr>
            <w:tcW w:type="dxa" w:w="3300"/>
            <w:tcMar>
              <w:top w:type="dxa" w:w="60"/>
              <w:left w:type="dxa" w:w="100"/>
              <w:bottom w:type="dxa" w:w="60"/>
              <w:right w:type="dxa" w:w="100"/>
            </w:tcMar>
          </w:tcPr>
          <w:p>
            <w:pPr>
              <w:spacing w:after="0"/>
            </w:pPr>
            <w:r>
              <w:rPr>
                <w:sz w:val="18"/>
                <w:szCs w:val="18"/>
              </w:rPr>
              <w:t xml:space="preserve"/>
            </w:r>
          </w:p>
        </w:tc>
        <w:tc>
          <w:tcPr>
            <w:tcW w:type="dxa" w:w="2600"/>
            <w:tcMar>
              <w:top w:type="dxa" w:w="60"/>
              <w:left w:type="dxa" w:w="100"/>
              <w:bottom w:type="dxa" w:w="60"/>
              <w:right w:type="dxa" w:w="100"/>
            </w:tcMar>
          </w:tcPr>
          <w:p>
            <w:pPr>
              <w:spacing w:after="0"/>
            </w:pPr>
            <w:r>
              <w:rPr>
                <w:sz w:val="18"/>
                <w:szCs w:val="18"/>
              </w:rPr>
              <w:t xml:space="preserve"/>
            </w:r>
          </w:p>
        </w:tc>
        <w:tc>
          <w:tcPr>
            <w:tcW w:type="dxa" w:w="1600"/>
            <w:tcMar>
              <w:top w:type="dxa" w:w="60"/>
              <w:left w:type="dxa" w:w="100"/>
              <w:bottom w:type="dxa" w:w="60"/>
              <w:right w:type="dxa" w:w="100"/>
            </w:tcMar>
          </w:tcPr>
          <w:p>
            <w:pPr>
              <w:spacing w:after="0"/>
            </w:pPr>
            <w:r>
              <w:rPr>
                <w:sz w:val="18"/>
                <w:szCs w:val="18"/>
              </w:rPr>
              <w:t xml:space="preserve"/>
            </w:r>
          </w:p>
        </w:tc>
        <w:tc>
          <w:tcPr>
            <w:tcW w:type="dxa" w:w="2000"/>
            <w:tcMar>
              <w:top w:type="dxa" w:w="60"/>
              <w:left w:type="dxa" w:w="100"/>
              <w:bottom w:type="dxa" w:w="60"/>
              <w:right w:type="dxa" w:w="100"/>
            </w:tcMar>
          </w:tcPr>
          <w:p>
            <w:pPr>
              <w:spacing w:after="0"/>
            </w:pPr>
            <w:r>
              <w:rPr>
                <w:sz w:val="18"/>
                <w:szCs w:val="18"/>
              </w:rPr>
              <w:t xml:space="preserve"/>
            </w:r>
          </w:p>
        </w:tc>
      </w:tr>
      <w:tr>
        <w:trPr>
          <w:cantSplit/>
        </w:trPr>
        <w:tc>
          <w:tcPr>
            <w:tcW w:type="dxa" w:w="3300"/>
            <w:tcMar>
              <w:top w:type="dxa" w:w="60"/>
              <w:left w:type="dxa" w:w="100"/>
              <w:bottom w:type="dxa" w:w="60"/>
              <w:right w:type="dxa" w:w="100"/>
            </w:tcMar>
          </w:tcPr>
          <w:p>
            <w:pPr>
              <w:spacing w:after="0"/>
            </w:pPr>
            <w:r>
              <w:rPr>
                <w:sz w:val="18"/>
                <w:szCs w:val="18"/>
              </w:rPr>
              <w:t xml:space="preserve"/>
            </w:r>
          </w:p>
        </w:tc>
        <w:tc>
          <w:tcPr>
            <w:tcW w:type="dxa" w:w="2600"/>
            <w:tcMar>
              <w:top w:type="dxa" w:w="60"/>
              <w:left w:type="dxa" w:w="100"/>
              <w:bottom w:type="dxa" w:w="60"/>
              <w:right w:type="dxa" w:w="100"/>
            </w:tcMar>
          </w:tcPr>
          <w:p>
            <w:pPr>
              <w:spacing w:after="0"/>
            </w:pPr>
            <w:r>
              <w:rPr>
                <w:sz w:val="18"/>
                <w:szCs w:val="18"/>
              </w:rPr>
              <w:t xml:space="preserve"/>
            </w:r>
          </w:p>
        </w:tc>
        <w:tc>
          <w:tcPr>
            <w:tcW w:type="dxa" w:w="1600"/>
            <w:tcMar>
              <w:top w:type="dxa" w:w="60"/>
              <w:left w:type="dxa" w:w="100"/>
              <w:bottom w:type="dxa" w:w="60"/>
              <w:right w:type="dxa" w:w="100"/>
            </w:tcMar>
          </w:tcPr>
          <w:p>
            <w:pPr>
              <w:spacing w:after="0"/>
            </w:pPr>
            <w:r>
              <w:rPr>
                <w:sz w:val="18"/>
                <w:szCs w:val="18"/>
              </w:rPr>
              <w:t xml:space="preserve"/>
            </w:r>
          </w:p>
        </w:tc>
        <w:tc>
          <w:tcPr>
            <w:tcW w:type="dxa" w:w="2000"/>
            <w:tcMar>
              <w:top w:type="dxa" w:w="60"/>
              <w:left w:type="dxa" w:w="100"/>
              <w:bottom w:type="dxa" w:w="60"/>
              <w:right w:type="dxa" w:w="100"/>
            </w:tcMar>
          </w:tcPr>
          <w:p>
            <w:pPr>
              <w:spacing w:after="0"/>
            </w:pPr>
            <w:r>
              <w:rPr>
                <w:sz w:val="18"/>
                <w:szCs w:val="18"/>
              </w:rPr>
              <w:t xml:space="preserve"/>
            </w:r>
          </w:p>
        </w:tc>
      </w:tr>
      <w:tr>
        <w:trPr>
          <w:cantSplit/>
        </w:trPr>
        <w:tc>
          <w:tcPr>
            <w:tcW w:type="dxa" w:w="3300"/>
            <w:tcMar>
              <w:top w:type="dxa" w:w="60"/>
              <w:left w:type="dxa" w:w="100"/>
              <w:bottom w:type="dxa" w:w="60"/>
              <w:right w:type="dxa" w:w="100"/>
            </w:tcMar>
          </w:tcPr>
          <w:p>
            <w:pPr>
              <w:spacing w:after="0"/>
            </w:pPr>
            <w:r>
              <w:rPr>
                <w:sz w:val="18"/>
                <w:szCs w:val="18"/>
              </w:rPr>
              <w:t xml:space="preserve"/>
            </w:r>
          </w:p>
        </w:tc>
        <w:tc>
          <w:tcPr>
            <w:tcW w:type="dxa" w:w="2600"/>
            <w:tcMar>
              <w:top w:type="dxa" w:w="60"/>
              <w:left w:type="dxa" w:w="100"/>
              <w:bottom w:type="dxa" w:w="60"/>
              <w:right w:type="dxa" w:w="100"/>
            </w:tcMar>
          </w:tcPr>
          <w:p>
            <w:pPr>
              <w:spacing w:after="0"/>
            </w:pPr>
            <w:r>
              <w:rPr>
                <w:sz w:val="18"/>
                <w:szCs w:val="18"/>
              </w:rPr>
              <w:t xml:space="preserve"/>
            </w:r>
          </w:p>
        </w:tc>
        <w:tc>
          <w:tcPr>
            <w:tcW w:type="dxa" w:w="1600"/>
            <w:tcMar>
              <w:top w:type="dxa" w:w="60"/>
              <w:left w:type="dxa" w:w="100"/>
              <w:bottom w:type="dxa" w:w="60"/>
              <w:right w:type="dxa" w:w="100"/>
            </w:tcMar>
          </w:tcPr>
          <w:p>
            <w:pPr>
              <w:spacing w:after="0"/>
            </w:pPr>
            <w:r>
              <w:rPr>
                <w:sz w:val="18"/>
                <w:szCs w:val="18"/>
              </w:rPr>
              <w:t xml:space="preserve"/>
            </w:r>
          </w:p>
        </w:tc>
        <w:tc>
          <w:tcPr>
            <w:tcW w:type="dxa" w:w="2000"/>
            <w:tcMar>
              <w:top w:type="dxa" w:w="60"/>
              <w:left w:type="dxa" w:w="100"/>
              <w:bottom w:type="dxa" w:w="60"/>
              <w:right w:type="dxa" w:w="100"/>
            </w:tcMar>
          </w:tcPr>
          <w:p>
            <w:pPr>
              <w:spacing w:after="0"/>
            </w:pPr>
            <w:r>
              <w:rPr>
                <w:sz w:val="18"/>
                <w:szCs w:val="18"/>
              </w:rPr>
              <w:t xml:space="preserve"/>
            </w:r>
          </w:p>
        </w:tc>
      </w:tr>
      <w:tr>
        <w:trPr>
          <w:cantSplit/>
        </w:trPr>
        <w:tc>
          <w:tcPr>
            <w:tcW w:type="dxa" w:w="3300"/>
            <w:tcMar>
              <w:top w:type="dxa" w:w="60"/>
              <w:left w:type="dxa" w:w="100"/>
              <w:bottom w:type="dxa" w:w="60"/>
              <w:right w:type="dxa" w:w="100"/>
            </w:tcMar>
          </w:tcPr>
          <w:p>
            <w:pPr>
              <w:spacing w:after="0"/>
            </w:pPr>
            <w:r>
              <w:rPr>
                <w:sz w:val="18"/>
                <w:szCs w:val="18"/>
              </w:rPr>
              <w:t xml:space="preserve"/>
            </w:r>
          </w:p>
        </w:tc>
        <w:tc>
          <w:tcPr>
            <w:tcW w:type="dxa" w:w="2600"/>
            <w:tcMar>
              <w:top w:type="dxa" w:w="60"/>
              <w:left w:type="dxa" w:w="100"/>
              <w:bottom w:type="dxa" w:w="60"/>
              <w:right w:type="dxa" w:w="100"/>
            </w:tcMar>
          </w:tcPr>
          <w:p>
            <w:pPr>
              <w:spacing w:after="0"/>
            </w:pPr>
            <w:r>
              <w:rPr>
                <w:sz w:val="18"/>
                <w:szCs w:val="18"/>
              </w:rPr>
              <w:t xml:space="preserve"/>
            </w:r>
          </w:p>
        </w:tc>
        <w:tc>
          <w:tcPr>
            <w:tcW w:type="dxa" w:w="1600"/>
            <w:tcMar>
              <w:top w:type="dxa" w:w="60"/>
              <w:left w:type="dxa" w:w="100"/>
              <w:bottom w:type="dxa" w:w="60"/>
              <w:right w:type="dxa" w:w="100"/>
            </w:tcMar>
          </w:tcPr>
          <w:p>
            <w:pPr>
              <w:spacing w:after="0"/>
            </w:pPr>
            <w:r>
              <w:rPr>
                <w:sz w:val="18"/>
                <w:szCs w:val="18"/>
              </w:rPr>
              <w:t xml:space="preserve"/>
            </w:r>
          </w:p>
        </w:tc>
        <w:tc>
          <w:tcPr>
            <w:tcW w:type="dxa" w:w="2000"/>
            <w:tcMar>
              <w:top w:type="dxa" w:w="60"/>
              <w:left w:type="dxa" w:w="100"/>
              <w:bottom w:type="dxa" w:w="60"/>
              <w:right w:type="dxa" w:w="100"/>
            </w:tcMar>
          </w:tcPr>
          <w:p>
            <w:pPr>
              <w:spacing w:after="0"/>
            </w:pPr>
            <w:r>
              <w:rPr>
                <w:sz w:val="18"/>
                <w:szCs w:val="18"/>
              </w:rPr>
              <w:t xml:space="preserve"/>
            </w:r>
          </w:p>
        </w:tc>
      </w:tr>
      <w:tr>
        <w:trPr>
          <w:cantSplit/>
        </w:trPr>
        <w:tc>
          <w:tcPr>
            <w:tcW w:type="dxa" w:w="3300"/>
            <w:tcMar>
              <w:top w:type="dxa" w:w="60"/>
              <w:left w:type="dxa" w:w="100"/>
              <w:bottom w:type="dxa" w:w="60"/>
              <w:right w:type="dxa" w:w="100"/>
            </w:tcMar>
          </w:tcPr>
          <w:p>
            <w:pPr>
              <w:spacing w:after="0"/>
            </w:pPr>
            <w:r>
              <w:rPr>
                <w:sz w:val="18"/>
                <w:szCs w:val="18"/>
              </w:rPr>
              <w:t xml:space="preserve"/>
            </w:r>
          </w:p>
        </w:tc>
        <w:tc>
          <w:tcPr>
            <w:tcW w:type="dxa" w:w="2600"/>
            <w:tcMar>
              <w:top w:type="dxa" w:w="60"/>
              <w:left w:type="dxa" w:w="100"/>
              <w:bottom w:type="dxa" w:w="60"/>
              <w:right w:type="dxa" w:w="100"/>
            </w:tcMar>
          </w:tcPr>
          <w:p>
            <w:pPr>
              <w:spacing w:after="0"/>
            </w:pPr>
            <w:r>
              <w:rPr>
                <w:sz w:val="18"/>
                <w:szCs w:val="18"/>
              </w:rPr>
              <w:t xml:space="preserve"/>
            </w:r>
          </w:p>
        </w:tc>
        <w:tc>
          <w:tcPr>
            <w:tcW w:type="dxa" w:w="1600"/>
            <w:tcMar>
              <w:top w:type="dxa" w:w="60"/>
              <w:left w:type="dxa" w:w="100"/>
              <w:bottom w:type="dxa" w:w="60"/>
              <w:right w:type="dxa" w:w="100"/>
            </w:tcMar>
          </w:tcPr>
          <w:p>
            <w:pPr>
              <w:spacing w:after="0"/>
            </w:pPr>
            <w:r>
              <w:rPr>
                <w:sz w:val="18"/>
                <w:szCs w:val="18"/>
              </w:rPr>
              <w:t xml:space="preserve"/>
            </w:r>
          </w:p>
        </w:tc>
        <w:tc>
          <w:tcPr>
            <w:tcW w:type="dxa" w:w="2000"/>
            <w:tcMar>
              <w:top w:type="dxa" w:w="60"/>
              <w:left w:type="dxa" w:w="100"/>
              <w:bottom w:type="dxa" w:w="60"/>
              <w:right w:type="dxa" w:w="100"/>
            </w:tcMar>
          </w:tcPr>
          <w:p>
            <w:pPr>
              <w:spacing w:after="0"/>
            </w:pPr>
            <w:r>
              <w:rPr>
                <w:sz w:val="18"/>
                <w:szCs w:val="18"/>
              </w:rPr>
              <w:t xml:space="preserve"/>
            </w:r>
          </w:p>
        </w:tc>
      </w:tr>
    </w:tbl>
    <w:p>
      <w:pPr>
        <w:spacing w:after="80"/>
      </w:pPr>
    </w:p>
    <w:p>
      <w:pPr>
        <w:spacing w:before="300"/>
      </w:pPr>
      <w:r>
        <w:rPr>
          <w:color w:val="888888"/>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2026-08-11T13:49:40.480Z</dcterms:created>
  <dcterms:modified xsi:type="dcterms:W3CDTF">2026-08-11T13:49:40.503Z</dcterms:modified>
</cp:coreProperties>
</file>

<file path=docProps/custom.xml><?xml version="1.0" encoding="utf-8"?>
<Properties xmlns="http://schemas.openxmlformats.org/officeDocument/2006/custom-properties" xmlns:vt="http://schemas.openxmlformats.org/officeDocument/2006/docPropsVTypes"/>
</file>