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D10 — Política de Resguardo Documental PLD/FT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Elaboró: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 — Actualizada conforme al Acuerdo 115/2026 (DOF 07/08/2026)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Plazo de conservación: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 (regla general) — con la excepción de 5 años para el dictamen de auditoría anual (ver Sección II)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sustituye el régimen de plazo único por un régimen diferenciado por tipo de documento, conforme al Acuerdo 115/2026 (DOF 07/08/2026). El plazo general de 10 años se mantiene (Art. 19 LFPIORPI, reforma jul-2025) y se confirma para la metodología EBR (Art. 10 Septies 3 RCG), la evidencia de capacitación (Art. 39 Bis 1 RCG) y el historial de Grado de Riesgo (Art. 41, fr. IV RCG). El dictamen de auditoría anual tiene una excepción expresa de 5 años (Art. 51 RCG) — antes se conservaba, por error, junto con el resto del expediente a 10 años.</w:t>
      </w:r>
    </w:p>
    <w:p>
      <w:pPr>
        <w:pStyle w:val="Heading2"/>
        <w:spacing w:after="120" w:before="320"/>
      </w:pPr>
      <w:r>
        <w:t xml:space="preserve">I. Fundamento legal</w:t>
      </w:r>
    </w:p>
    <w:p>
      <w:pPr>
        <w:spacing w:after="120"/>
      </w:pPr>
      <w:r>
        <w:rPr>
          <w:sz w:val="20"/>
          <w:szCs w:val="20"/>
        </w:rPr>
        <w:t xml:space="preserve">El artículo 19 de la LFPIORPI obliga a conservar por un plazo de 10 años, contados a partir de la fecha en que se realizó la operación, los documentos, datos, registros e información relacionados con el Programa Certus PLD. Las Reglas de Carácter General reformadas por el Acuerdo 115/2026 confirman este plazo general y añaden una excepción expresa para el dictamen de auditoría.</w:t>
      </w:r>
    </w:p>
    <w:p>
      <w:pPr>
        <w:pStyle w:val="Heading2"/>
        <w:spacing w:after="120" w:before="320"/>
      </w:pPr>
      <w:r>
        <w:t xml:space="preserve">II. Plazos de conservación por tipo de documento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Documento / registro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Doc. del Kit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Expedientes de identificación de Clientes o Usuarias (KYC, incluida la documentación del Beneficiario Controlador)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Metodología EBR, indicadores, Mitigantes y resultados de su implementación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10 Septies 3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Grado de Riesgo y Perfil Transaccional de cada cliente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D6 / D7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41, fr. IV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de Políticas Internas y versiones anteriores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Acta de Designación del Representante de Cumplimiento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Constancia de registro en el SPPLD y sus actualizaciones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Acuses de presentación de Avisos e Informes al SAT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Reportes de Operaciones Inusuales (ROI)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Registros de PEP's identificados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19 LFPIORPI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Evidencia de capacitación (materiales, listas de asistencia, evaluaciones, constancias)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D11 / D11B / D11C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39 Bis 1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Declaración de Selección de Personal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D11D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39 Bis 1 RCG (por analogía, junto con el expediente de capacitación del declarante)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Dictamen de auditoría anual y documentación que lo sustenta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años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51 RCG — EXCEPCIÓN al plazo general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El dictamen de auditoría (D13) es el único documento del Kit con un plazo de conservación distinto al general. Su vencimiento debe controlarse por separado (ver Sección V.2).</w:t>
      </w:r>
    </w:p>
    <w:p>
      <w:pPr>
        <w:pStyle w:val="Heading2"/>
        <w:spacing w:after="120" w:before="320"/>
      </w:pPr>
      <w:r>
        <w:t xml:space="preserve">III. Documentos sujetos a resguardo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3.1 Expedientes de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Expedientes KYC completos (D7), incluyendo identificaciones, comprobantes, Beneficiario Controlador y Perfil Transaccional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Contratos celebrados con clientes (compraventa, arrendamiento, intermediación, preventa)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Documentación de origen y destino de fondos presentada por el cliente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Fichas de Evaluación EBR firmadas (D6)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3.2 Documentos del Programa Certus PLD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Manual de Políticas Internas (D5) y todas sus versiones anteriores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Metodología EBR (D6)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Acta de Designación del Representante de Cumplimiento (D2)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Constancia de registro en el SPPLD del SAT (D3)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Acuses de presentación de Avisos e Informes al SAT (D9, D12)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Registros de PEP's identificados (D8)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Constancias de capacitación del personal y Declaraciones de Selección de Personal (D11, D11B, D11C, D11D)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Dictámenes de auditoría anual (D13) — plazo de conservación diferenciado, ver Sección 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Documentación del Beneficiario Controlador (D7, D14)</w:t>
      </w:r>
    </w:p>
    <w:p>
      <w:pPr>
        <w:pStyle w:val="Heading2"/>
        <w:spacing w:after="120" w:before="320"/>
      </w:pPr>
      <w:r>
        <w:t xml:space="preserve">IV. Sistema de organización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4.1 Sistema físico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Archiveros etiquetados por año fiscal y tipo de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Carpetas individuales por cliente identificadas con el número de expediente KYC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Subfolder para Avisos SAT organizado por mes y año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Carpeta separada para dictámenes de auditoría, dado su plazo de conservación distinto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Acceso restringido: solo el Representante de Cumplimiento y el órgano de administración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4.2 Sistema digital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Repositorio digital encriptado (servidor o nube con respaldo), consistente con los mecanismos automatizados de la empresa (D5, Cap. 18)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Nomenclatura estándar: [D][número]-[Año/Mes]-[Nombre Cliente/Concepto]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Respaldo automático diario con copia en ubicación alterna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Control de acceso con usuario y contraseña única por persona autorizada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Registro de bitácora de accesos y modificaciones</w:t>
      </w:r>
    </w:p>
    <w:p>
      <w:pPr>
        <w:pStyle w:val="Heading2"/>
        <w:spacing w:after="120" w:before="320"/>
      </w:pPr>
      <w:r>
        <w:t xml:space="preserve">V. Control de vencimientos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5.1 Documentos con plazo general (10 años)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Año de la operación / registro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2037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2028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2038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2039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2040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5.2 Dictámenes de auditoría anual (5 años — Art. 51 RCG)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Ejercicio auditado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Vencimiento del plazo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 de verificación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2028 (primer periodo auditado, dictamen entregado en marzo de 2029)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Marzo 2034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2029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Marzo 2035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Marzo 2036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Representante de Cumplimiento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Vigente  [ ] Venció</w:t>
            </w:r>
          </w:p>
        </w:tc>
      </w:tr>
    </w:tbl>
    <w:p>
      <w:pPr>
        <w:pStyle w:val="Heading2"/>
        <w:spacing w:after="120" w:before="320"/>
      </w:pPr>
      <w:r>
        <w:t xml:space="preserve">VI. Procedimiento de destrucción documental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Verificar el plazo de conservación aplicable según la tabla de la Sección II — no todos los documentos vencen en el mismo momento.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Verificar que no exista investigación, auditoría o requerimiento de autoridad pendiente relacionado con los documentos a destruir.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Representante de Cumplimiento genera un inventario de los documentos a destruir con sus fechas originales y el fundamento del plazo aplicado.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El órgano de administración autoriza la destrucción mediante acuerdo o minuta.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Los documentos físicos se destruyen mediante trituración certificada; los digitales, mediante borrado seguro con certificación.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 conserva durante 5 años adicionales el acta de destrucción y el inventario de lo destruido.</w:t>
      </w:r>
    </w:p>
    <w:p>
      <w:pPr>
        <w:pStyle w:val="Heading2"/>
        <w:spacing w:after="120" w:before="320"/>
      </w:pPr>
      <w:r>
        <w:t xml:space="preserve">VII. Acceso a requerimientos de autoridad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Notificar de inmediato al órgano de administración y al asesor legal (Certus Consultores │ contacto@certusconsultores.com.mx │ 999 163 1363).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Localizar y preparar la información solicitada dentro del plazo concedido.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destruir, alterar ni ocultar documento alguno relacionado con el requerimiento.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Colaborar plenamente con la autoridad conforme a la ley.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Aprobado por: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Firma: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2026-08-11T14:16:21.458Z</dcterms:created>
  <dcterms:modified xsi:type="dcterms:W3CDTF">2026-08-11T14:16:21.458Z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