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CE4F2" w:val="clear"/>
            <w:tcMar>
              <w:top w:type="dxa" w:w="80"/>
              <w:left w:type="dxa" w:w="120"/>
              <w:bottom w:type="dxa" w:w="80"/>
              <w:right w:type="dxa" w:w="120"/>
            </w:tcMar>
            <w:vAlign w:val="center"/>
          </w:tcPr>
          <w:p>
            <w:pPr>
              <w:spacing w:after="40"/>
            </w:pPr>
            <w:r>
              <w:rPr>
                <w:rFonts w:ascii="Arial" w:cs="Arial" w:eastAsia="Arial" w:hAnsi="Arial"/>
                <w:b/>
                <w:bCs/>
                <w:color w:val="1F3864"/>
                <w:sz w:val="24"/>
                <w:szCs w:val="24"/>
              </w:rPr>
              <w:t xml:space="preserve">CERTUS PLD</w:t>
            </w:r>
            <w:r>
              <w:rPr>
                <w:sz w:val="24"/>
                <w:szCs w:val="24"/>
              </w:rPr>
              <w:t xml:space="preserve">                                    </w:t>
            </w:r>
            <w:r>
              <w:rPr>
                <w:rFonts w:ascii="Arial" w:cs="Arial" w:eastAsia="Arial" w:hAnsi="Arial"/>
                <w:b/>
                <w:bCs/>
                <w:color w:val="C9A84C"/>
                <w:sz w:val="24"/>
                <w:szCs w:val="24"/>
              </w:rPr>
              <w:t xml:space="preserve">D14  </w:t>
            </w:r>
            <w:r>
              <w:rPr>
                <w:rFonts w:ascii="Arial" w:cs="Arial" w:eastAsia="Arial" w:hAnsi="Arial"/>
                <w:b/>
                <w:bCs/>
                <w:color w:val="1F3864"/>
                <w:sz w:val="24"/>
                <w:szCs w:val="24"/>
              </w:rPr>
              <w:t xml:space="preserve">Manual del Beneficiario Controlador (CFF y LFPIORPI)</w:t>
            </w:r>
          </w:p>
          <w:p>
            <w:pPr>
              <w:spacing w:after="0"/>
            </w:pPr>
            <w:r>
              <w:rPr>
                <w:rFonts w:ascii="Arial" w:cs="Arial" w:eastAsia="Arial" w:hAnsi="Arial"/>
                <w:color w:val="595959"/>
                <w:sz w:val="18"/>
                <w:szCs w:val="18"/>
              </w:rPr>
              <w:t xml:space="preserve">Fecha: </w:t>
            </w:r>
            <w:r>
              <w:rPr>
                <w:rFonts w:ascii="Arial" w:cs="Arial" w:eastAsia="Arial" w:hAnsi="Arial"/>
                <w:color w:val="595959"/>
                <w:sz w:val="18"/>
                <w:szCs w:val="18"/>
              </w:rPr>
              <w:t xml:space="preserve">[Fecha]</w:t>
            </w:r>
            <w:r>
              <w:rPr>
                <w:rFonts w:ascii="Arial" w:cs="Arial" w:eastAsia="Arial" w:hAnsi="Arial"/>
                <w:color w:val="595959"/>
                <w:sz w:val="18"/>
                <w:szCs w:val="18"/>
              </w:rPr>
              <w:t xml:space="preserve">   │   </w:t>
            </w:r>
            <w:r>
              <w:rPr>
                <w:rFonts w:ascii="Arial" w:cs="Arial" w:eastAsia="Arial" w:hAnsi="Arial"/>
                <w:color w:val="595959"/>
                <w:sz w:val="18"/>
                <w:szCs w:val="18"/>
              </w:rPr>
              <w:t xml:space="preserve">Empresa: </w:t>
            </w:r>
            <w:r>
              <w:rPr>
                <w:rFonts w:ascii="Arial" w:cs="Arial" w:eastAsia="Arial" w:hAnsi="Arial"/>
                <w:color w:val="595959"/>
                <w:sz w:val="18"/>
                <w:szCs w:val="18"/>
              </w:rPr>
              <w:t xml:space="preserve">[Empresa]</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Empresa: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[Empresa]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RFC: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[RFC]</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Versión: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2.0 — Actualizada conforme al Acuerdo 115/2026 (DOF 07/08/2026)</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adopción: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[Fecha]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Aprobado por: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[Órgano de administración]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Elaboró:</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CERTUS CONSULTORES │ Certus PLD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Contacto: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contacto@certusconsultores.com.mx │ 999 163 1363</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Vigencia: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Anual, o de inmediato ante cualquier cambio en la tenencia accionaria, el control efectivo o la estructura corporativa - revisión obligatoria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Complementa 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D6 (Metodología EBR), D7 (Expediente KYC), D8 (Política de PEPs)</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de actualización regulatoria: </w:t>
            </w:r>
            <w:r>
              <w:rPr>
                <w:rFonts w:ascii="Arial" w:cs="Arial" w:eastAsia="Arial" w:hAnsi="Arial"/>
                <w:sz w:val="19"/>
                <w:szCs w:val="19"/>
              </w:rPr>
              <w:t xml:space="preserve">Esta versión incorpora el Capítulo III Quinquies ("Del Beneficiario Controlador", artículos 23 Quinquies a 23 Quinquies 3) de las Reglas de Carácter General de la LFPIORPI, reformadas por el Acuerdo 115/2026 (DOF 07/08/2026). Dicho capítulo reglamenta, con mayor precisión que antes, el orden de prelación para la identificación del Beneficiario Controlador frente a clientes, la regla específica para fideicomisos, y dos excepciones de nueva incorporación. Exigible a partir del 1 de marzo de 2027.</w:t>
            </w:r>
          </w:p>
        </w:tc>
      </w:tr>
    </w:tbl>
    <w:p>
      <w:pPr>
        <w:spacing w:after="80" w:before="0"/>
      </w:pPr>
      <w:r>
        <w:rPr>
          <w:rFonts w:ascii="Arial" w:cs="Arial" w:eastAsia="Arial" w:hAnsi="Arial"/>
          <w:b w:val="false"/>
          <w:bCs w:val="false"/>
          <w:i w:val="false"/>
          <w:iCs w:val="false"/>
          <w:color w:val="000000"/>
          <w:sz w:val="20"/>
          <w:szCs w:val="20"/>
        </w:rPr>
        <w:t xml:space="preserve"/>
      </w:r>
    </w:p>
    <w:p>
      <w:pPr>
        <w:spacing w:after="220" w:before="100"/>
      </w:pPr>
      <w:r>
        <w:rPr>
          <w:rFonts w:ascii="Arial" w:cs="Arial" w:eastAsia="Arial" w:hAnsi="Arial"/>
          <w:i/>
          <w:iCs/>
          <w:color w:val="595959"/>
          <w:sz w:val="17"/>
          <w:szCs w:val="17"/>
        </w:rPr>
        <w:t xml:space="preserve">Cap. 1: Introducción y doble marco normativo</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2: ¿Qué es el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3: Comparativo CFF vs. LFPIORPI</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4: Sujetos obligados y supuestos de control</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5: Metodología de identificación</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6: EBR aplicado al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7: Debida diligencia y señales de alerta</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8: Expediente del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9: Formato de Declaración (Anexo)</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10: Conservación y actualización</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11: Infracciones y sanciones</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12: Glosario y referencias normativas</w:t>
      </w:r>
    </w:p>
    <w:p>
      <w:pPr>
        <w:pStyle w:val="Heading1"/>
        <w:spacing w:after="140" w:before="320"/>
      </w:pPr>
      <w:r>
        <w:rPr>
          <w:rFonts w:ascii="Arial" w:cs="Arial" w:eastAsia="Arial" w:hAnsi="Arial"/>
          <w:b/>
          <w:bCs/>
          <w:color w:val="1F3864"/>
          <w:sz w:val="26"/>
          <w:szCs w:val="26"/>
        </w:rPr>
        <w:t xml:space="preserve">Capítulo 1: Introducción y Doble Marco Normativo</w:t>
      </w:r>
    </w:p>
    <w:p>
      <w:pPr>
        <w:spacing w:after="120" w:before="0"/>
      </w:pPr>
      <w:r>
        <w:rPr>
          <w:rFonts w:ascii="Arial" w:cs="Arial" w:eastAsia="Arial" w:hAnsi="Arial"/>
          <w:b w:val="false"/>
          <w:bCs w:val="false"/>
          <w:i w:val="false"/>
          <w:iCs w:val="false"/>
          <w:color w:val="000000"/>
          <w:sz w:val="20"/>
          <w:szCs w:val="20"/>
        </w:rPr>
        <w:t xml:space="preserve">El presente Manual establece la metodología, los procedimientos y los formatos que [Empresa] adopta para identificar, documentar, conservar y actualizar la información relativa a su Beneficiario Controlador y al de las personas morales con las que celebra operaciones, en cumplimiento simultáneo de dos regímenes jurídicos independientes que convergen sobre la misma figura: el fiscal y el de prevención de lavado de dinero.</w:t>
      </w:r>
    </w:p>
    <w:p>
      <w:pPr>
        <w:pStyle w:val="Heading2"/>
        <w:spacing w:after="100" w:before="200"/>
      </w:pPr>
      <w:r>
        <w:rPr>
          <w:rFonts w:ascii="Arial" w:cs="Arial" w:eastAsia="Arial" w:hAnsi="Arial"/>
          <w:b/>
          <w:bCs/>
          <w:color w:val="1F3864"/>
          <w:sz w:val="21"/>
          <w:szCs w:val="21"/>
        </w:rPr>
        <w:t xml:space="preserve">1.1 Antecedentes</w:t>
      </w:r>
    </w:p>
    <w:p>
      <w:pPr>
        <w:spacing w:after="120" w:before="0"/>
      </w:pPr>
      <w:r>
        <w:rPr>
          <w:rFonts w:ascii="Arial" w:cs="Arial" w:eastAsia="Arial" w:hAnsi="Arial"/>
          <w:b w:val="false"/>
          <w:bCs w:val="false"/>
          <w:i w:val="false"/>
          <w:iCs w:val="false"/>
          <w:color w:val="000000"/>
          <w:sz w:val="20"/>
          <w:szCs w:val="20"/>
        </w:rPr>
        <w:t xml:space="preserve">La obligación de identificar al Beneficiario Controlador responde a compromisos internacionales asumidos por México ante el Grupo de Acción Financiera Internacional (GAFI), cuya evaluación mutua de enero de 2018 detectó deficiencias relevantes en la transparencia de las estructuras corporativas mexicanas y en la identificación de los verdaderos titulares de dichas estructuras. Esta observación detonó dos reformas paralelas: la fiscal (CFF, vigente desde el 1 de enero de 2022) y la antilavado (LFPIORPI, vigente desde el 17 de julio de 2025), esta última reglamentada con mayor detalle por el Acuerdo 115/2026 que reforma las Reglas de Carácter General (RCG).</w:t>
      </w:r>
    </w:p>
    <w:p>
      <w:pPr>
        <w:pStyle w:val="Heading2"/>
        <w:spacing w:after="100" w:before="200"/>
      </w:pPr>
      <w:r>
        <w:rPr>
          <w:rFonts w:ascii="Arial" w:cs="Arial" w:eastAsia="Arial" w:hAnsi="Arial"/>
          <w:b/>
          <w:bCs/>
          <w:color w:val="1F3864"/>
          <w:sz w:val="21"/>
          <w:szCs w:val="21"/>
        </w:rPr>
        <w:t xml:space="preserve">1.2 Triple exigibilidad — por qué convergen tres normas a la vez</w:t>
      </w:r>
    </w:p>
    <w:p>
      <w:pPr>
        <w:pStyle w:val="ListParagraph"/>
        <w:numPr>
          <w:ilvl w:val="0"/>
          <w:numId w:val="2"/>
        </w:numPr>
        <w:spacing w:after="80"/>
      </w:pPr>
      <w:r>
        <w:rPr>
          <w:rFonts w:ascii="Arial" w:cs="Arial" w:eastAsia="Arial" w:hAnsi="Arial"/>
          <w:sz w:val="20"/>
          <w:szCs w:val="20"/>
        </w:rPr>
        <w:t xml:space="preserve">Código Fiscal de la Federación (CFF), artículos 32-B Ter, 32-B Quáter y 32-B Quinquies: obligación de naturaleza fiscal, exigible a TODAS las personas morales, fideicomisos y figuras jurídicas del país, sin importar su giro ni si realizan o no Actividades Vulnerables.</w:t>
      </w:r>
    </w:p>
    <w:p>
      <w:pPr>
        <w:pStyle w:val="ListParagraph"/>
        <w:numPr>
          <w:ilvl w:val="0"/>
          <w:numId w:val="2"/>
        </w:numPr>
        <w:spacing w:after="80"/>
      </w:pPr>
      <w:r>
        <w:rPr>
          <w:rFonts w:ascii="Arial" w:cs="Arial" w:eastAsia="Arial" w:hAnsi="Arial"/>
          <w:sz w:val="20"/>
          <w:szCs w:val="20"/>
        </w:rPr>
        <w:t xml:space="preserve">LFPIORPI, artículo 18 fracción III: obligación de identificación del Beneficiario Controlador como parte del expediente KYC, exigible a quienes realizan Actividades Vulnerables (Fracc. V, V Bis y XV en el caso de [Empresa]).</w:t>
      </w:r>
    </w:p>
    <w:p>
      <w:pPr>
        <w:pStyle w:val="ListParagraph"/>
        <w:numPr>
          <w:ilvl w:val="0"/>
          <w:numId w:val="2"/>
        </w:numPr>
        <w:spacing w:after="80"/>
      </w:pPr>
      <w:r>
        <w:rPr>
          <w:rFonts w:ascii="Arial" w:cs="Arial" w:eastAsia="Arial" w:hAnsi="Arial"/>
          <w:sz w:val="20"/>
          <w:szCs w:val="20"/>
        </w:rPr>
        <w:t xml:space="preserve">Reglas de Carácter General, Capítulo III Quinquies (artículos 23 Quinquies, 23 Quinquies 1, 23 Quinquies 2 y 23 Quinquies 3, añadidos por el Acuerdo 115/2026): reglamentan el "cómo" de la obligación anterior — fijan el orden de prelación de los criterios de identificación, la regla específica para fideicomisos, y las excepciones aplicables.</w:t>
      </w:r>
    </w:p>
    <w:p>
      <w:pPr>
        <w:pStyle w:val="ListParagraph"/>
        <w:numPr>
          <w:ilvl w:val="0"/>
          <w:numId w:val="2"/>
        </w:numPr>
        <w:spacing w:after="80"/>
      </w:pPr>
      <w:r>
        <w:rPr>
          <w:rFonts w:ascii="Arial" w:cs="Arial" w:eastAsia="Arial" w:hAnsi="Arial"/>
          <w:sz w:val="20"/>
          <w:szCs w:val="20"/>
        </w:rPr>
        <w:t xml:space="preserve">LFPIORPI, Capítulo IV Bis “Del Beneficiario Controlador” (artículos 33 Bis, 33 Ter y 33 Quáter): obligación de registro corporativo, exigible a TODA sociedad mercantil mexicana — independientemente de si realiza Actividades Vulnerables — ante el sistema electrónico que opera la Secretaría de Economía.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técnica: </w:t>
            </w:r>
            <w:r>
              <w:rPr>
                <w:rFonts w:ascii="Arial" w:cs="Arial" w:eastAsia="Arial" w:hAnsi="Arial"/>
                <w:sz w:val="19"/>
                <w:szCs w:val="19"/>
              </w:rPr>
              <w:t xml:space="preserve">Conviene no confundir el artículo 18, fracción III de la LFPIORPI —reglamentado por el Capítulo III Quinquies de las RCG— (obligación de identificación frente a un cliente, dentro del expediente KYC) con el Capítulo IV Bis de la misma Ley, artículos 33 Bis a 33 Quáter (obligación de registro de la propia sociedad mercantil ante la Secretaría de Economía). Regulan obligaciones distintas y ambas aplican a [Empresa].</w:t>
            </w:r>
          </w:p>
        </w:tc>
      </w:tr>
    </w:tbl>
    <w:p>
      <w:pPr>
        <w:spacing w:after="120" w:before="0"/>
      </w:pPr>
      <w:r>
        <w:rPr>
          <w:rFonts w:ascii="Arial" w:cs="Arial" w:eastAsia="Arial" w:hAnsi="Arial"/>
          <w:b w:val="false"/>
          <w:bCs w:val="false"/>
          <w:i w:val="false"/>
          <w:iCs w:val="false"/>
          <w:color w:val="000000"/>
          <w:sz w:val="20"/>
          <w:szCs w:val="20"/>
        </w:rPr>
        <w:t xml:space="preserve">En consecuencia, [Empresa] tiene una doble función frente a esta figura: (a) como sociedad mercantil, debe identificar y registrar a su PROPIO Beneficiario Controlador ante la Secretaría de Economía y conservarlo como parte de su contabilidad para el SAT; y (b) como sujeto obligado LFPIORPI, debe identificar al Beneficiario Controlador de sus CLIENTES persona moral o fideicomiso, como parte del expediente KYC (Documento D7), siguiendo el orden de prelación fijado por el Capítulo III Quinquies de las RCG (ver Capítulo 5 de este Manual).</w:t>
      </w:r>
    </w:p>
    <w:p>
      <w:pPr>
        <w:pStyle w:val="Heading1"/>
        <w:spacing w:after="140" w:before="320"/>
      </w:pPr>
      <w:r>
        <w:rPr>
          <w:rFonts w:ascii="Arial" w:cs="Arial" w:eastAsia="Arial" w:hAnsi="Arial"/>
          <w:b/>
          <w:bCs/>
          <w:color w:val="1F3864"/>
          <w:sz w:val="26"/>
          <w:szCs w:val="26"/>
        </w:rPr>
        <w:t xml:space="preserve">Capítulo 2: ¿Qué es el Beneficiario Controlador? Definición y Velo Corporativo</w:t>
      </w:r>
    </w:p>
    <w:p>
      <w:pPr>
        <w:pStyle w:val="Heading2"/>
        <w:spacing w:after="100" w:before="200"/>
      </w:pPr>
      <w:r>
        <w:rPr>
          <w:rFonts w:ascii="Arial" w:cs="Arial" w:eastAsia="Arial" w:hAnsi="Arial"/>
          <w:b/>
          <w:bCs/>
          <w:color w:val="1F3864"/>
          <w:sz w:val="21"/>
          <w:szCs w:val="21"/>
        </w:rPr>
        <w:t xml:space="preserve">2.1 El velo corporativo</w:t>
      </w:r>
    </w:p>
    <w:p>
      <w:pPr>
        <w:spacing w:after="120" w:before="0"/>
      </w:pPr>
      <w:r>
        <w:rPr>
          <w:rFonts w:ascii="Arial" w:cs="Arial" w:eastAsia="Arial" w:hAnsi="Arial"/>
          <w:b w:val="false"/>
          <w:bCs w:val="false"/>
          <w:i w:val="false"/>
          <w:iCs w:val="false"/>
          <w:color w:val="000000"/>
          <w:sz w:val="20"/>
          <w:szCs w:val="20"/>
        </w:rPr>
        <w:t xml:space="preserve">Una persona moral, un fideicomiso o cualquier otra figura jurídica es, en sí misma, una ficción legal: no piensa, no decide y no se beneficia económicamente por sí sola. Detrás de toda estructura corporativa existen siempre personas físicas que, en última instancia, ejercen el control o reciben el beneficio real de sus operaciones. El “velo corporativo” es la separación legal entre la entidad y esas personas físicas; cuando dicho velo se utiliza para ocultar quién controla realmente los recursos —mediante prestanombres, accionistas fiduciarios o estructuras multinivel— se convierte en una herramienta clásica de lavado de dinero. Identificar al Beneficiario Controlador es, precisamente, el ejercicio de perforar ese velo.</w:t>
      </w:r>
    </w:p>
    <w:p>
      <w:pPr>
        <w:pStyle w:val="Heading2"/>
        <w:spacing w:after="100" w:before="200"/>
      </w:pPr>
      <w:r>
        <w:rPr>
          <w:rFonts w:ascii="Arial" w:cs="Arial" w:eastAsia="Arial" w:hAnsi="Arial"/>
          <w:b/>
          <w:bCs/>
          <w:color w:val="1F3864"/>
          <w:sz w:val="21"/>
          <w:szCs w:val="21"/>
        </w:rPr>
        <w:t xml:space="preserve">2.2 Definición conforme al CFF (artículo 32-B Quáter)</w:t>
      </w:r>
    </w:p>
    <w:p>
      <w:pPr>
        <w:spacing w:after="120" w:before="0"/>
      </w:pPr>
      <w:r>
        <w:rPr>
          <w:rFonts w:ascii="Arial" w:cs="Arial" w:eastAsia="Arial" w:hAnsi="Arial"/>
          <w:b w:val="false"/>
          <w:bCs w:val="false"/>
          <w:i w:val="false"/>
          <w:iCs w:val="false"/>
          <w:color w:val="000000"/>
          <w:sz w:val="20"/>
          <w:szCs w:val="20"/>
        </w:rPr>
        <w:t xml:space="preserve">Para efectos fiscales, se entiende por Beneficiario Controlador a la persona física o grupo de personas físicas que, directa, indirectamente o de forma contingente:</w:t>
      </w:r>
    </w:p>
    <w:p>
      <w:pPr>
        <w:pStyle w:val="ListParagraph"/>
        <w:numPr>
          <w:ilvl w:val="0"/>
          <w:numId w:val="3"/>
        </w:numPr>
        <w:spacing w:after="80"/>
      </w:pPr>
      <w:r>
        <w:rPr>
          <w:rFonts w:ascii="Arial" w:cs="Arial" w:eastAsia="Arial" w:hAnsi="Arial"/>
          <w:sz w:val="20"/>
          <w:szCs w:val="20"/>
        </w:rPr>
        <w:t xml:space="preserve">Obtiene el beneficio derivado de su participación en una persona moral, fideicomiso o figura jurídica, o ejerce en última instancia los derechos de uso, goce, disfrute, aprovechamiento o disposición de un bien o servicio, o en cuyo nombre se realiza una transacción (Beneficiario por Titularidad); o bien</w:t>
      </w:r>
    </w:p>
    <w:p>
      <w:pPr>
        <w:pStyle w:val="ListParagraph"/>
        <w:numPr>
          <w:ilvl w:val="0"/>
          <w:numId w:val="3"/>
        </w:numPr>
        <w:spacing w:after="80"/>
      </w:pPr>
      <w:r>
        <w:rPr>
          <w:rFonts w:ascii="Arial" w:cs="Arial" w:eastAsia="Arial" w:hAnsi="Arial"/>
          <w:sz w:val="20"/>
          <w:szCs w:val="20"/>
        </w:rPr>
        <w:t xml:space="preserve">Ejerce el control de la persona moral, fideicomiso o figura jurídica (Beneficiario por Control), entendiéndose que existe control cuando, a través de la titularidad de valores, por contrato o por cualquier otro acto jurídico, la persona física puede: (a) imponer decisiones en asambleas o nombrar y destituir a la mayoría de consejeros o administradores; (b) mantener la titularidad de derechos que permitan ejercer el voto respecto de más del 15% del capital social; o (c) dirigir, directa o indirectamente, la administración, la estrategia o las políticas principales de la entidad.</w:t>
      </w:r>
    </w:p>
    <w:p>
      <w:pPr>
        <w:spacing w:after="120" w:before="0"/>
      </w:pPr>
      <w:r>
        <w:rPr>
          <w:rFonts w:ascii="Arial" w:cs="Arial" w:eastAsia="Arial" w:hAnsi="Arial"/>
          <w:b w:val="false"/>
          <w:bCs w:val="false"/>
          <w:i w:val="false"/>
          <w:iCs w:val="false"/>
          <w:color w:val="000000"/>
          <w:sz w:val="20"/>
          <w:szCs w:val="20"/>
        </w:rPr>
        <w:t xml:space="preserve">Tratándose de fideicomisos, la propia ley considera Beneficiarios Controladores al fideicomitente, al fiduciario, al o los fideicomisarios, y a cualquier otra persona que ejerza el control efectivo del contrato, aun de forma contingente.</w:t>
      </w:r>
    </w:p>
    <w:p>
      <w:pPr>
        <w:pStyle w:val="Heading2"/>
        <w:spacing w:after="100" w:before="200"/>
      </w:pPr>
      <w:r>
        <w:rPr>
          <w:rFonts w:ascii="Arial" w:cs="Arial" w:eastAsia="Arial" w:hAnsi="Arial"/>
          <w:b/>
          <w:bCs/>
          <w:color w:val="1F3864"/>
          <w:sz w:val="21"/>
          <w:szCs w:val="21"/>
        </w:rPr>
        <w:t xml:space="preserve">2.3 Definición conforme a la LFPIORPI (artículo 3, fracción III/IV, reformado) y su reglamentación en las RCG</w:t>
      </w:r>
    </w:p>
    <w:p>
      <w:pPr>
        <w:spacing w:after="120" w:before="0"/>
      </w:pPr>
      <w:r>
        <w:rPr>
          <w:rFonts w:ascii="Arial" w:cs="Arial" w:eastAsia="Arial" w:hAnsi="Arial"/>
          <w:b w:val="false"/>
          <w:bCs w:val="false"/>
          <w:i w:val="false"/>
          <w:iCs w:val="false"/>
          <w:color w:val="000000"/>
          <w:sz w:val="20"/>
          <w:szCs w:val="20"/>
        </w:rPr>
        <w:t xml:space="preserve">La reforma de julio de 2025 redefinió al Beneficiario Controlador como la persona física o grupo de personas físicas que, directa o indirectamente, obtiene el beneficio derivado de la participación en una persona moral, fideicomiso o figura jurídica, o ejerce el control sobre ésta. El Acuerdo 115/2026 no modifica esta definición legal, pero la desarrolla operativamente en el Capítulo III Quinquies de las RCG (ver Capítulo 5). Dos elementos quedan fijados con precisión:</w:t>
      </w:r>
    </w:p>
    <w:p>
      <w:pPr>
        <w:pStyle w:val="ListParagraph"/>
        <w:numPr>
          <w:ilvl w:val="0"/>
          <w:numId w:val="2"/>
        </w:numPr>
        <w:spacing w:after="80"/>
      </w:pPr>
      <w:r>
        <w:rPr>
          <w:rFonts w:ascii="Arial" w:cs="Arial" w:eastAsia="Arial" w:hAnsi="Arial"/>
          <w:sz w:val="20"/>
          <w:szCs w:val="20"/>
        </w:rPr>
        <w:t xml:space="preserve">Nunca puede ser una persona moral. El Beneficiario Controlador es siempre, sin excepción, una o varias personas físicas — si una empresa intermedia aparece en la cadena de tenencia, la investigación debe continuar hasta llegar a la persona física última.</w:t>
      </w:r>
    </w:p>
    <w:p>
      <w:pPr>
        <w:pStyle w:val="ListParagraph"/>
        <w:numPr>
          <w:ilvl w:val="0"/>
          <w:numId w:val="2"/>
        </w:numPr>
        <w:spacing w:after="80"/>
      </w:pPr>
      <w:r>
        <w:rPr>
          <w:rFonts w:ascii="Arial" w:cs="Arial" w:eastAsia="Arial" w:hAnsi="Arial"/>
          <w:sz w:val="20"/>
          <w:szCs w:val="20"/>
        </w:rPr>
        <w:t xml:space="preserve">El umbral de control accionario para LFPIORPI es del 25% del capital social o de los derechos de voto — el Art. 23 Quinquies de las RCG confirma este umbral como primer criterio del orden de prelación, alineado con la Recomendación 24 del GAFI.</w:t>
      </w:r>
    </w:p>
    <w:p>
      <w:pPr>
        <w:pStyle w:val="Heading2"/>
        <w:spacing w:after="100" w:before="200"/>
      </w:pPr>
      <w:r>
        <w:rPr>
          <w:rFonts w:ascii="Arial" w:cs="Arial" w:eastAsia="Arial" w:hAnsi="Arial"/>
          <w:b/>
          <w:bCs/>
          <w:color w:val="1F3864"/>
          <w:sz w:val="21"/>
          <w:szCs w:val="21"/>
        </w:rPr>
        <w:t xml:space="preserve">2.4 Cuadro resumen — los dos canales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Canal</w:t>
            </w:r>
          </w:p>
        </w:tc>
        <w:tc>
          <w:tcPr>
            <w:tcW w:type="dxa" w:w="3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Criterio</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Ejemplo típico</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Titularidad</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Recibe el beneficio económico de la operación o de la participación, con o sin tenencia formal de capital</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Socio que recibe utilidades a través de un tercero o de una cuenta distinta a la suya</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Control</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Ejerce control efectivo: veto, mayoría de voto, nombramiento de administradores, dirección estratégica</w:t>
            </w:r>
          </w:p>
        </w:tc>
        <w:tc>
          <w:tcPr>
            <w:tcW w:type="dxa" w:w="3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Accionista minoritario (menos del 25%) que, por convenio entre socios, decide todas las inversiones de la empresa</w:t>
            </w:r>
          </w:p>
        </w:tc>
      </w:tr>
    </w:tbl>
    <w:p>
      <w:pPr>
        <w:pStyle w:val="Heading1"/>
        <w:spacing w:after="140" w:before="320"/>
      </w:pPr>
      <w:r>
        <w:rPr>
          <w:rFonts w:ascii="Arial" w:cs="Arial" w:eastAsia="Arial" w:hAnsi="Arial"/>
          <w:b/>
          <w:bCs/>
          <w:color w:val="1F3864"/>
          <w:sz w:val="26"/>
          <w:szCs w:val="26"/>
        </w:rPr>
        <w:t xml:space="preserve">Capítulo 3: Comparativo Beneficiario Controlador — CFF vs. LFPIORPI</w:t>
      </w:r>
    </w:p>
    <w:p>
      <w:pPr>
        <w:spacing w:after="120" w:before="0"/>
      </w:pPr>
      <w:r>
        <w:rPr>
          <w:rFonts w:ascii="Arial" w:cs="Arial" w:eastAsia="Arial" w:hAnsi="Arial"/>
          <w:b w:val="false"/>
          <w:bCs w:val="false"/>
          <w:i w:val="false"/>
          <w:iCs w:val="false"/>
          <w:color w:val="000000"/>
          <w:sz w:val="20"/>
          <w:szCs w:val="20"/>
        </w:rPr>
        <w:t xml:space="preserve">Aunque ambos regímenes convergieron tras la reforma de 2025, conservan diferencias operativas relevantes que [Empresa] debe atender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Aspecto</w:t>
            </w:r>
          </w:p>
        </w:tc>
        <w:tc>
          <w:tcPr>
            <w:tcW w:type="dxa" w:w="35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CFF (Art. 32-B Ter/Quáter/Quinquies)</w:t>
            </w:r>
          </w:p>
        </w:tc>
        <w:tc>
          <w:tcPr>
            <w:tcW w:type="dxa" w:w="35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LFPIORPI (Art. 18-III, Cap. III Quinquies y Cap. IV Bis RCG)</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Ámbito de aplicación</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Toda persona moral, fideicomiso o figura jurídica en México</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Sujetos obligados LFPIORPI (frente a clientes) + toda sociedad mercantil (registro propio)</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Autoridad competente</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Servicio de Administración Tributaria (SAT)</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UIF / SAT (supervisión) y Secretaría de Economía (registro)</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Umbral de control accionario</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Más del 15% del capital social (Art. 32-B Quáter, fr. II, inciso b)</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25% o más del capital social o derechos de voto — orden de prelación fijado por el Art. 23 Quinquies RCG</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Vigencia de la obligación</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Desde el 1 de enero de 2022</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Desde el 17 de julio de 2025; Cap. III Quinquies RCG exigible desde el 1 de marzo de 2027</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Obligación central</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Obtener, conservar como parte de la contabilidad y entregar al SAT cuando lo requiera</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Identificar en el expediente KYC del cliente (Art. 18-III LFPIORPI, Art. 23 Quinquies RCG) y/o registrar a la propia sociedad ante la Secretaría de Economía (Art. 33 Bis/Ter)</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Excepciones</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previstas de forma expresa</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se requiere identificar al BC cuando el cliente cotiza en bolsa reconocida, o pertenece a los Anexos 4 Bis, 6 Bis, 7-A o 7 Bis-A de las RCG (Art. 23 Quinquies 2, de nueva incorporación)</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Consecuencia adicional</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Opinión de Cumplimiento de Obligaciones Fiscales en sentido negativo (Art. 32-D CFF)</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Posible suspensión temporal de operaciones (Art. 54 Bis)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En la práctica: </w:t>
            </w:r>
            <w:r>
              <w:rPr>
                <w:rFonts w:ascii="Arial" w:cs="Arial" w:eastAsia="Arial" w:hAnsi="Arial"/>
                <w:sz w:val="19"/>
                <w:szCs w:val="19"/>
              </w:rPr>
              <w:t xml:space="preserve">Para [Empresa], esto significa cumplir tres frentes simultáneos: (1) identificar y registrar a su propio Beneficiario Controlador ante la Secretaría de Economía y el SAT; (2) identificar al Beneficiario Controlador de cada cliente persona moral o fideicomiso dentro del expediente KYC (D7), siguiendo el orden de prelación del Art. 23 Quinquies RCG; y (3) reflejar la complejidad de la estructura corporativa del cliente dentro de la evaluación EBR (D6 y Capítulo 6 de este Manual).</w:t>
            </w:r>
          </w:p>
        </w:tc>
      </w:tr>
    </w:tbl>
    <w:p>
      <w:pPr>
        <w:pStyle w:val="Heading1"/>
        <w:spacing w:after="140" w:before="320"/>
      </w:pPr>
      <w:r>
        <w:rPr>
          <w:rFonts w:ascii="Arial" w:cs="Arial" w:eastAsia="Arial" w:hAnsi="Arial"/>
          <w:b/>
          <w:bCs/>
          <w:color w:val="1F3864"/>
          <w:sz w:val="26"/>
          <w:szCs w:val="26"/>
        </w:rPr>
        <w:t xml:space="preserve">Capítulo 4: Sujetos Obligados y Supuestos de Control</w:t>
      </w:r>
    </w:p>
    <w:p>
      <w:pPr>
        <w:pStyle w:val="Heading2"/>
        <w:spacing w:after="100" w:before="200"/>
      </w:pPr>
      <w:r>
        <w:rPr>
          <w:rFonts w:ascii="Arial" w:cs="Arial" w:eastAsia="Arial" w:hAnsi="Arial"/>
          <w:b/>
          <w:bCs/>
          <w:color w:val="1F3864"/>
          <w:sz w:val="21"/>
          <w:szCs w:val="21"/>
        </w:rPr>
        <w:t xml:space="preserve">4.1 ¿Quién debe identificar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Rol de [Empresa]</w:t>
            </w:r>
          </w:p>
        </w:tc>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 quién identifica?</w:t>
            </w:r>
          </w:p>
        </w:tc>
        <w:tc>
          <w:tcPr>
            <w:tcW w:type="dxa" w:w="2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Documento Certus PLD</w:t>
            </w:r>
          </w:p>
        </w:tc>
      </w:tr>
      <w:tr>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Como sociedad mercantil (obligación fiscal y de registro)</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 su propio Beneficiario Controlador (socios, accionistas, quien ejerza control efectivo)</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Capítulo 9 de este Manual (D14) — Anexo de Declaración</w:t>
            </w:r>
          </w:p>
        </w:tc>
      </w:tr>
      <w:tr>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Como sujeto obligado LFPIORPI (obligación frente a clientes)</w:t>
            </w:r>
          </w:p>
        </w:tc>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 Beneficiario Controlador de cada cliente persona moral, fideicomiso o figura jurídica con quien celebra una operación</w:t>
            </w:r>
          </w:p>
        </w:tc>
        <w:tc>
          <w:tcPr>
            <w:tcW w:type="dxa" w:w="2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D7 Expediente KYC, Sección E — Identificación del Beneficiario Controlador</w:t>
            </w:r>
          </w:p>
        </w:tc>
      </w:tr>
    </w:tbl>
    <w:p>
      <w:pPr>
        <w:pStyle w:val="Heading2"/>
        <w:spacing w:after="100" w:before="200"/>
      </w:pPr>
      <w:r>
        <w:rPr>
          <w:rFonts w:ascii="Arial" w:cs="Arial" w:eastAsia="Arial" w:hAnsi="Arial"/>
          <w:b/>
          <w:bCs/>
          <w:color w:val="1F3864"/>
          <w:sz w:val="21"/>
          <w:szCs w:val="21"/>
        </w:rPr>
        <w:t xml:space="preserve">4.2 El inversionista de “bajo perfil empresarial” (criterio UIF)</w:t>
      </w:r>
    </w:p>
    <w:p>
      <w:pPr>
        <w:spacing w:after="120" w:before="0"/>
      </w:pPr>
      <w:r>
        <w:rPr>
          <w:rFonts w:ascii="Arial" w:cs="Arial" w:eastAsia="Arial" w:hAnsi="Arial"/>
          <w:b w:val="false"/>
          <w:bCs w:val="false"/>
          <w:i w:val="false"/>
          <w:iCs w:val="false"/>
          <w:color w:val="000000"/>
          <w:sz w:val="20"/>
          <w:szCs w:val="20"/>
        </w:rPr>
        <w:t xml:space="preserve">La Unidad de Inteligencia Financiera ha identificado un patrón recurrente de riesgo: personas físicas que, sin ostentar cargos directivos ni una participación accionaria visible, aportan la totalidad o la mayor parte de los recursos de una operación y dirigen de facto las decisiones de inversión, mientras que la representación formal de la empresa queda a cargo de un tercero de “bajo perfil” (familiar, empleado o conocido sin capacidad económica propia para explicar el origen de los recursos). Este patrón es, en esencia, el uso de un prestanombres para evitar la identificación del verdadero Beneficiario Controlador, y debe alertar al equipo de ventas y al Representante de Cumplimiento incluso cuando, en apariencia, todos los documentos formales estén en orden.</w:t>
      </w:r>
    </w:p>
    <w:p>
      <w:pPr>
        <w:pStyle w:val="Heading1"/>
        <w:spacing w:after="140" w:before="320"/>
      </w:pPr>
      <w:r>
        <w:rPr>
          <w:rFonts w:ascii="Arial" w:cs="Arial" w:eastAsia="Arial" w:hAnsi="Arial"/>
          <w:b/>
          <w:bCs/>
          <w:color w:val="1F3864"/>
          <w:sz w:val="26"/>
          <w:szCs w:val="26"/>
        </w:rPr>
        <w:t xml:space="preserve">Capítulo 5: Metodología de Identificación — Investigación Secuencial</w:t>
      </w:r>
    </w:p>
    <w:p>
      <w:pPr>
        <w:spacing w:after="120" w:before="0"/>
      </w:pPr>
      <w:r>
        <w:rPr>
          <w:rFonts w:ascii="Arial" w:cs="Arial" w:eastAsia="Arial" w:hAnsi="Arial"/>
          <w:b w:val="false"/>
          <w:bCs w:val="false"/>
          <w:i w:val="false"/>
          <w:iCs w:val="false"/>
          <w:color w:val="000000"/>
          <w:sz w:val="20"/>
          <w:szCs w:val="20"/>
        </w:rPr>
        <w:t xml:space="preserve">La identificación del Beneficiario Controlador no se agota en revisar el acta constitutiva. El Art. 23 Quinquies de las RCG fija un orden de prelación obligatorio: se aplica primero el criterio de Titularidad (25% o más del capital social) y, solo si éste no permite identificar a una persona física, se continúa con el criterio de Control efectivo. Si ninguno de los dos resulta concluyente, se aplica la regla supletoria de alta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160"/>
        <w:gridCol w:w="280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Paso</w:t>
            </w:r>
          </w:p>
        </w:tc>
        <w:tc>
          <w:tcPr>
            <w:tcW w:type="dxa" w:w="3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Acción</w:t>
            </w:r>
          </w:p>
        </w:tc>
        <w:tc>
          <w:tcPr>
            <w:tcW w:type="dxa" w:w="2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Responsable</w:t>
            </w:r>
          </w:p>
        </w:tc>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Resultado esperado</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Solicitar acta constitutiva vigente y libro de registro de socios o acciones actualizado</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Mapa inicial de tenedores directos</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Identificar a la persona física o grupo de personas físicas que, directa o indirectamente, sea titular del 25% o más del capital social del cliente (Art. 23 Quinquies, fr. I RCG)</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de quien(es) superen el 25%</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existen personas morales como socias, continuar la cadena de titularidad hasta llegar a personas físicas (look-through)</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 documentada nivel por nivel</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4</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el criterio anterior no es concluyente, identificar a la persona física o grupo que tenga el control del cliente por medios distintos a la tenencia accionaria, cuyas funciones se relacionen con la estrategia, toma de decisiones y dirección de las principales políticas (Art. 23 Quinquies, fr. II RCG)</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de Beneficiario por Control</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ninguno de los criterios anteriores resulta concluyente, identificar a la persona física que ocupe la posición de funcionario administrativo de mayor grado o de alta dirección (Art. 23 Quinquies, fr. III RCG)</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residual — regla supletoria</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Recabar identificación oficial, comprobante de domicilio y declaración firmada de cada Beneficiario Controlador identificado</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Soporte documental completo</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7</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Validar, firmar e integrar al expediente (D7 o Anexo D14, según corresponda), documentando el procedimiento seguido para la identificación</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Órgano de administración / RC</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Expediente cerrado y conservado</w:t>
            </w:r>
          </w:p>
        </w:tc>
      </w:tr>
    </w:tbl>
    <w:p>
      <w:pPr>
        <w:pStyle w:val="Heading2"/>
        <w:spacing w:after="100" w:before="200"/>
      </w:pPr>
      <w:r>
        <w:rPr>
          <w:rFonts w:ascii="Arial" w:cs="Arial" w:eastAsia="Arial" w:hAnsi="Arial"/>
          <w:b/>
          <w:bCs/>
          <w:color w:val="1F3864"/>
          <w:sz w:val="21"/>
          <w:szCs w:val="21"/>
        </w:rPr>
        <w:t xml:space="preserve">5.1 Regla específica para fideicomisos (Art. 23 Quinquies 1 RCG)</w:t>
      </w:r>
    </w:p>
    <w:p>
      <w:pPr>
        <w:spacing w:after="120" w:before="0"/>
      </w:pPr>
      <w:r>
        <w:rPr>
          <w:rFonts w:ascii="Arial" w:cs="Arial" w:eastAsia="Arial" w:hAnsi="Arial"/>
          <w:b w:val="false"/>
          <w:bCs w:val="false"/>
          <w:i w:val="false"/>
          <w:iCs w:val="false"/>
          <w:color w:val="000000"/>
          <w:sz w:val="20"/>
          <w:szCs w:val="20"/>
        </w:rPr>
        <w:t xml:space="preserve">Cuando el cliente sea un fideicomiso, se considera Beneficiario Controlador a cualquier persona física que, en última instancia, ejerza el control efectivo sobre el fideicomiso mediante facultades contractuales, legales o de cualquier otra naturaleza que le permitan disponer, administrar o dirigir el destino de los bienes o derechos fideicomitidos, instruir o autorizar distribuciones, modificar o extinguir el fideicomiso, o nombrar o remover a quienes ejerzan funciones de administración o decisión. Esto incluye, según corresponda, a los fiduciarios, fideicomitentes, fideicomisarios, protectores, y a los miembros del comité técnico o de cualquier órgano equivalente. Cuando alguna de estas personas sea, a su vez, persona moral o estructura jurídica, deberá identificarse a la persona física que sea su Beneficiario Controlador, ascendiendo en la cadena de titularidad y control hasta identificar a quien, en última instancia, ejerza el control efectivo.</w:t>
      </w:r>
    </w:p>
    <w:p>
      <w:pPr>
        <w:pStyle w:val="Heading2"/>
        <w:spacing w:after="100" w:before="200"/>
      </w:pPr>
      <w:r>
        <w:rPr>
          <w:rFonts w:ascii="Arial" w:cs="Arial" w:eastAsia="Arial" w:hAnsi="Arial"/>
          <w:b/>
          <w:bCs/>
          <w:color w:val="1F3864"/>
          <w:sz w:val="21"/>
          <w:szCs w:val="21"/>
        </w:rPr>
        <w:t xml:space="preserve">5.2 Excepciones a la obligación de identificación (Art. 23 Quinquies 2 RCG — nueva)</w:t>
      </w:r>
    </w:p>
    <w:p>
      <w:pPr>
        <w:spacing w:after="120" w:before="0"/>
      </w:pPr>
      <w:r>
        <w:rPr>
          <w:rFonts w:ascii="Arial" w:cs="Arial" w:eastAsia="Arial" w:hAnsi="Arial"/>
          <w:b w:val="false"/>
          <w:bCs w:val="false"/>
          <w:i w:val="false"/>
          <w:iCs w:val="false"/>
          <w:color w:val="000000"/>
          <w:sz w:val="20"/>
          <w:szCs w:val="20"/>
        </w:rPr>
        <w:t xml:space="preserve">[Empresa] no está obligada a recabar los datos de identificación del Beneficiario Controlador cuando:</w:t>
      </w:r>
    </w:p>
    <w:p>
      <w:pPr>
        <w:pStyle w:val="ListParagraph"/>
        <w:numPr>
          <w:ilvl w:val="0"/>
          <w:numId w:val="2"/>
        </w:numPr>
        <w:spacing w:after="80"/>
      </w:pPr>
      <w:r>
        <w:rPr>
          <w:rFonts w:ascii="Arial" w:cs="Arial" w:eastAsia="Arial" w:hAnsi="Arial"/>
          <w:sz w:val="20"/>
          <w:szCs w:val="20"/>
        </w:rPr>
        <w:t xml:space="preserve">El cliente sea un fideicomiso o persona moral que cotice en alguna bolsa de valores mexicana o en mercados de valores del exterior reconocidos por la legislación mexicana, siempre que proporcione la clave de pizarra, referencia o identificador con el que pueda localizarse en dichas bolsas.</w:t>
      </w:r>
    </w:p>
    <w:p>
      <w:pPr>
        <w:pStyle w:val="ListParagraph"/>
        <w:numPr>
          <w:ilvl w:val="0"/>
          <w:numId w:val="2"/>
        </w:numPr>
        <w:spacing w:after="80"/>
      </w:pPr>
      <w:r>
        <w:rPr>
          <w:rFonts w:ascii="Arial" w:cs="Arial" w:eastAsia="Arial" w:hAnsi="Arial"/>
          <w:sz w:val="20"/>
          <w:szCs w:val="20"/>
        </w:rPr>
        <w:t xml:space="preserve">El cliente sea una persona moral de las previstas en los Anexos 4 Bis, 6 Bis, 7-A o 7 Bis-A de las RCG (típicamente dependencias públicas, organismos internacionales u otras entidades expresamente exceptuadas).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práctica: </w:t>
            </w:r>
            <w:r>
              <w:rPr>
                <w:rFonts w:ascii="Arial" w:cs="Arial" w:eastAsia="Arial" w:hAnsi="Arial"/>
                <w:sz w:val="19"/>
                <w:szCs w:val="19"/>
              </w:rPr>
              <w:t xml:space="preserve">Estas excepciones son poco frecuentes en la cartera típica de clientes de una inmobiliaria (personas físicas, desarrolladoras y fideicomisos privados), pero deben verificarse caso por caso antes de omitir la identificación del Beneficiario Controlador.</w:t>
            </w:r>
          </w:p>
        </w:tc>
      </w:tr>
    </w:tbl>
    <w:p>
      <w:pPr>
        <w:pStyle w:val="Heading2"/>
        <w:spacing w:after="100" w:before="200"/>
      </w:pPr>
      <w:r>
        <w:rPr>
          <w:rFonts w:ascii="Arial" w:cs="Arial" w:eastAsia="Arial" w:hAnsi="Arial"/>
          <w:b/>
          <w:bCs/>
          <w:color w:val="1F3864"/>
          <w:sz w:val="21"/>
          <w:szCs w:val="21"/>
        </w:rPr>
        <w:t xml:space="preserve">5.3 Cadena de titularidad y de control — ejemplo ilustrativo</w:t>
      </w:r>
    </w:p>
    <w:p>
      <w:pPr>
        <w:spacing w:after="120" w:before="0"/>
      </w:pPr>
      <w:r>
        <w:rPr>
          <w:rFonts w:ascii="Arial" w:cs="Arial" w:eastAsia="Arial" w:hAnsi="Arial"/>
          <w:b w:val="false"/>
          <w:bCs w:val="false"/>
          <w:i w:val="false"/>
          <w:iCs w:val="false"/>
          <w:color w:val="000000"/>
          <w:sz w:val="20"/>
          <w:szCs w:val="20"/>
        </w:rPr>
        <w:t xml:space="preserve">[Empresa] (sociedad mercantil) es propiedad en un 60% de “Inversiones X, S.A. de C.V.” y en un 40% de la persona física Juan Pérez. Inversiones X, a su vez, es propiedad en un 70% de María López y en un 30% de un fideicomiso extranjero. Siguiendo la cadena: Juan Pérez es Beneficiario Controlador directo (40% &gt; 25%). María López, al poseer indirectamente el 70% × 60% = 42% de [Empresa], también es Beneficiario Controlador. El fideicomiso extranjero (30% × 60% = 18%) no supera el umbral por titularidad, pero debe evaluarse bajo el criterio de control: si el fiduciario o el fideicomitente del fideicomiso dirigen las decisiones estratégicas de Inversiones X, serán igualmente identificados como Beneficiarios Controladores por control efectivo, no por porcentaje.</w:t>
      </w:r>
    </w:p>
    <w:p>
      <w:pPr>
        <w:pStyle w:val="Heading1"/>
        <w:spacing w:after="140" w:before="320"/>
      </w:pPr>
      <w:r>
        <w:rPr>
          <w:rFonts w:ascii="Arial" w:cs="Arial" w:eastAsia="Arial" w:hAnsi="Arial"/>
          <w:b/>
          <w:bCs/>
          <w:color w:val="1F3864"/>
          <w:sz w:val="26"/>
          <w:szCs w:val="26"/>
        </w:rPr>
        <w:t xml:space="preserve">Capítulo 6: Enfoque Basado en Riesgo (EBR) Aplicado al Beneficiario Controlador</w:t>
      </w:r>
    </w:p>
    <w:p>
      <w:pPr>
        <w:spacing w:after="120" w:before="0"/>
      </w:pPr>
      <w:r>
        <w:rPr>
          <w:rFonts w:ascii="Arial" w:cs="Arial" w:eastAsia="Arial" w:hAnsi="Arial"/>
          <w:b w:val="false"/>
          <w:bCs w:val="false"/>
          <w:i w:val="false"/>
          <w:iCs w:val="false"/>
          <w:color w:val="000000"/>
          <w:sz w:val="20"/>
          <w:szCs w:val="20"/>
        </w:rPr>
        <w:t xml:space="preserve">La Metodología EBR general de [Empresa] (Documento D6, escala ponderada de 9 a 27 puntos conforme al Acuerdo 115/2026) evalúa al cliente como un todo. Este capítulo añade una capa específica de evaluación de riesgo centrada exclusivamente en la complejidad y transparencia de la estructura de tenencia y control, en cumplimiento del artículo 18, fracción III de la LFPIORPI y del Capítulo III Quinquies de las RCG.</w:t>
      </w:r>
    </w:p>
    <w:p>
      <w:pPr>
        <w:pStyle w:val="Heading2"/>
        <w:spacing w:after="100" w:before="200"/>
      </w:pPr>
      <w:r>
        <w:rPr>
          <w:rFonts w:ascii="Arial" w:cs="Arial" w:eastAsia="Arial" w:hAnsi="Arial"/>
          <w:b/>
          <w:bCs/>
          <w:color w:val="1F3864"/>
          <w:sz w:val="21"/>
          <w:szCs w:val="21"/>
        </w:rPr>
        <w:t xml:space="preserve">6.1 Matriz de 6 factores de riesgo — Beneficiario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Factor</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Bajo (1)</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Medio (2)</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Alto (3)</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 Complejidad de la estructura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Persona física directa, o PM con socios directos identificables</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PM con un nivel intermedio de tenencia (una sola capa societaria)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Estructura multinivel, multijurisdiccional o con tenencia cruzada</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 Transparencia de la tenencia</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Libro de socios/acciones completo y consistente con el RFC</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Información parcial o desactualizada, subsanable</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Negativa o imposibilidad de acreditar quién es el tenedor real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 Uso de fideicomisos o figuras extranjeras</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fideicomisos ni vehículos extranjeros en la cadena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Fideicomiso nacional con fiduciario identificado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Fideicomiso o trust extranjero, fundación de interés privado, o jurisdicción de baja transparencia fiscal</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4. Consistencia declarado vs. verificado</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Lo declarado coincide con el acta y el libro de socios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Diferencias menores, explicables y documentadas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Discrepancias relevantes sin explicación razonable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 Vínculo con jurisdicciones de riesgo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socios ni vehículos en jurisdicciones señaladas por GAFI</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Vínculo indirecto o histórico, ya resuelto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Socio o vehículo activo en jurisdicción de alto riesgo o no cooperante — clasificación obligatoria de Riesgo alto (Art. 23 Bis 4 RCG)</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 Vínculo del Beneficiario Controlador con PEP's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vínculo con PEP's verificado</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Familiar o vínculo indirecto con PEP</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El propio Beneficiario Controlador es un PEP o PEP extranjero — clasificación obligatoria de Riesgo alto (D6, Sección VII)</w:t>
            </w:r>
          </w:p>
        </w:tc>
      </w:tr>
    </w:tbl>
    <w:p>
      <w:pPr>
        <w:pStyle w:val="Heading2"/>
        <w:spacing w:after="100" w:before="200"/>
      </w:pPr>
      <w:r>
        <w:rPr>
          <w:rFonts w:ascii="Arial" w:cs="Arial" w:eastAsia="Arial" w:hAnsi="Arial"/>
          <w:b/>
          <w:bCs/>
          <w:color w:val="1F3864"/>
          <w:sz w:val="21"/>
          <w:szCs w:val="21"/>
        </w:rPr>
        <w:t xml:space="preserve">6.2 Clasificación de riesgo y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Puntuación total</w:t>
            </w:r>
          </w:p>
        </w:tc>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Nivel de riesgo</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Acciones requeridas</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 a 9 puntos</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BAJO — VERDE</w:t>
            </w:r>
          </w:p>
        </w:tc>
        <w:tc>
          <w:tcPr>
            <w:tcW w:type="dxa" w:w="4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estándar. Conservación en expediente D7/Anexo D14. Revisión anual.</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 a 14 puntos</w:t>
            </w:r>
          </w:p>
        </w:tc>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MEDIO — AMARILLO</w:t>
            </w:r>
          </w:p>
        </w:tc>
        <w:tc>
          <w:tcPr>
            <w:tcW w:type="dxa" w:w="47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Solicitar cadena de titularidad documentada en cada nivel. Verificación adicional de identidad. Revisión semestral.</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15 a 18 puntos</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ALTO — ROJO</w:t>
            </w:r>
          </w:p>
        </w:tc>
        <w:tc>
          <w:tcPr>
            <w:tcW w:type="dxa" w:w="4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Debida diligencia reforzada. Investigación de la cadena completa hasta persona física. Aprobación del órgano de administración antes de operar. Considerar no operar si la estructura permanece opaca.</w:t>
            </w:r>
          </w:p>
        </w:tc>
      </w:tr>
    </w:tbl>
    <w:p>
      <w:pPr>
        <w:spacing w:after="160" w:before="60"/>
      </w:pPr>
      <w:r>
        <w:rPr>
          <w:rFonts w:ascii="Arial" w:cs="Arial" w:eastAsia="Arial" w:hAnsi="Arial"/>
          <w:i/>
          <w:iCs/>
          <w:color w:val="595959"/>
          <w:sz w:val="17"/>
          <w:szCs w:val="17"/>
        </w:rPr>
        <w:t xml:space="preserve">Esta matriz de 6 factores es complementaria a la Metodología EBR general (D6) y evalúa específicamente el Riesgo asociado a la estructura de tenencia y control; no sustituye la clasificación de Grado de Riesgo del cliente (D6, Sección VI), que utiliza la escala ponderada de 9 a 27 puntos.</w:t>
      </w:r>
    </w:p>
    <w:p>
      <w:pPr>
        <w:pStyle w:val="Heading2"/>
        <w:spacing w:after="100" w:before="200"/>
      </w:pPr>
      <w:r>
        <w:rPr>
          <w:rFonts w:ascii="Arial" w:cs="Arial" w:eastAsia="Arial" w:hAnsi="Arial"/>
          <w:b/>
          <w:bCs/>
          <w:color w:val="1F3864"/>
          <w:sz w:val="21"/>
          <w:szCs w:val="21"/>
        </w:rPr>
        <w:t xml:space="preserve">6.3 Árbol de decisión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Pregunta</w:t>
            </w:r>
          </w:p>
        </w:tc>
        <w:tc>
          <w:tcPr>
            <w:tcW w:type="dxa" w:w="30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Si la respuesta es SÍ</w:t>
            </w:r>
          </w:p>
        </w:tc>
        <w:tc>
          <w:tcPr>
            <w:tcW w:type="dxa" w:w="30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Si la respuesta es NO</w:t>
            </w:r>
          </w:p>
        </w:tc>
      </w:tr>
      <w:tr>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¿Existe una persona física con 25% o más del capital o voto (LFPIORPI) / 15% de voto (CFF)?</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identifica como Beneficiario Controlador por Titularidad. Continuar para verificar si hay otros.</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¿Alguna persona física ejerce control efectivo (veto, nombramiento de administradores, dirección estratégica) sin tenencia relevante?</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identifica como Beneficiario Controlador por Control. Documentar el mecanismo de control.</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¿La tenencia está en manos de otra persona moral o fideicomiso?</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Repetir el ejercicio (Pasos 1-4 del Capítulo 5) sobre esa entidad intermedia hasta llegar a personas físicas.</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identificó al menos una persona física por los criterios anteriores?</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Cerrar el expediente con los Beneficiarios Controladores identificados.</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Aplicar la regla supletoria: persona física con el cargo de mayor jerarquía administrativa.</w:t>
            </w:r>
          </w:p>
        </w:tc>
      </w:tr>
    </w:tbl>
    <w:p>
      <w:pPr>
        <w:pStyle w:val="Heading1"/>
        <w:spacing w:after="140" w:before="320"/>
      </w:pPr>
      <w:r>
        <w:rPr>
          <w:rFonts w:ascii="Arial" w:cs="Arial" w:eastAsia="Arial" w:hAnsi="Arial"/>
          <w:b/>
          <w:bCs/>
          <w:color w:val="1F3864"/>
          <w:sz w:val="26"/>
          <w:szCs w:val="26"/>
        </w:rPr>
        <w:t xml:space="preserve">Capítulo 7: Debida Diligencia, Malas Prácticas y Señales de Alerta</w:t>
      </w:r>
    </w:p>
    <w:p>
      <w:pPr>
        <w:pStyle w:val="Heading2"/>
        <w:spacing w:after="100" w:before="200"/>
      </w:pPr>
      <w:r>
        <w:rPr>
          <w:rFonts w:ascii="Arial" w:cs="Arial" w:eastAsia="Arial" w:hAnsi="Arial"/>
          <w:b/>
          <w:bCs/>
          <w:color w:val="1F3864"/>
          <w:sz w:val="21"/>
          <w:szCs w:val="21"/>
        </w:rPr>
        <w:t xml:space="preserve">7.1 Estándares internacionales de debida diligencia</w:t>
      </w:r>
    </w:p>
    <w:p>
      <w:pPr>
        <w:pStyle w:val="ListParagraph"/>
        <w:numPr>
          <w:ilvl w:val="0"/>
          <w:numId w:val="2"/>
        </w:numPr>
        <w:spacing w:after="80"/>
      </w:pPr>
      <w:r>
        <w:rPr>
          <w:rFonts w:ascii="Arial" w:cs="Arial" w:eastAsia="Arial" w:hAnsi="Arial"/>
          <w:sz w:val="20"/>
          <w:szCs w:val="20"/>
        </w:rPr>
        <w:t xml:space="preserve">Recomendación 10 del GAFI (Debida diligencia del cliente): exige identificar y verificar la identidad del cliente y, cuando éste sea persona moral o figura jurídica, tomar medidas razonables para identificar a su Beneficiario Controlador y comprender la estructura de propiedad y control.</w:t>
      </w:r>
    </w:p>
    <w:p>
      <w:pPr>
        <w:pStyle w:val="ListParagraph"/>
        <w:numPr>
          <w:ilvl w:val="0"/>
          <w:numId w:val="2"/>
        </w:numPr>
        <w:spacing w:after="80"/>
      </w:pPr>
      <w:r>
        <w:rPr>
          <w:rFonts w:ascii="Arial" w:cs="Arial" w:eastAsia="Arial" w:hAnsi="Arial"/>
          <w:sz w:val="20"/>
          <w:szCs w:val="20"/>
        </w:rPr>
        <w:t xml:space="preserve">Recomendación 22 del GAFI (Actividades y Profesiones No Financieras Designadas): reconoce que notarios, abogados, contadores y otros profesionales pueden ser utilizados — voluntaria o involuntariamente — como instrumento para el lavado de dinero al constituir sociedades o fideicomisos opacos, y por ello les impone las mismas obligaciones de debida diligencia que a los sujetos obligados financieros.</w:t>
      </w:r>
    </w:p>
    <w:p>
      <w:pPr>
        <w:pStyle w:val="Heading2"/>
        <w:spacing w:after="100" w:before="200"/>
      </w:pPr>
      <w:r>
        <w:rPr>
          <w:rFonts w:ascii="Arial" w:cs="Arial" w:eastAsia="Arial" w:hAnsi="Arial"/>
          <w:b/>
          <w:bCs/>
          <w:color w:val="1F3864"/>
          <w:sz w:val="21"/>
          <w:szCs w:val="21"/>
        </w:rPr>
        <w:t xml:space="preserve">7.2 Malas prácticas frecuentes</w:t>
      </w:r>
    </w:p>
    <w:p>
      <w:pPr>
        <w:pStyle w:val="ListParagraph"/>
        <w:numPr>
          <w:ilvl w:val="0"/>
          <w:numId w:val="2"/>
        </w:numPr>
        <w:spacing w:after="80"/>
      </w:pPr>
      <w:r>
        <w:rPr>
          <w:rFonts w:ascii="Arial" w:cs="Arial" w:eastAsia="Arial" w:hAnsi="Arial"/>
          <w:sz w:val="20"/>
          <w:szCs w:val="20"/>
        </w:rPr>
        <w:t xml:space="preserve">Uso de prestanombres o “testaferros” para ocupar la titularidad formal de acciones que en realidad pertenecen a un tercero.</w:t>
      </w:r>
    </w:p>
    <w:p>
      <w:pPr>
        <w:pStyle w:val="ListParagraph"/>
        <w:numPr>
          <w:ilvl w:val="0"/>
          <w:numId w:val="2"/>
        </w:numPr>
        <w:spacing w:after="80"/>
      </w:pPr>
      <w:r>
        <w:rPr>
          <w:rFonts w:ascii="Arial" w:cs="Arial" w:eastAsia="Arial" w:hAnsi="Arial"/>
          <w:sz w:val="20"/>
          <w:szCs w:val="20"/>
        </w:rPr>
        <w:t xml:space="preserve">Fragmentación artificial de la tenencia accionaria entre varios familiares o socios, cada uno por debajo del 25%, para evitar la identificación obligatoria, cuando en conjunto actúan como un solo grupo de control.</w:t>
      </w:r>
    </w:p>
    <w:p>
      <w:pPr>
        <w:pStyle w:val="ListParagraph"/>
        <w:numPr>
          <w:ilvl w:val="0"/>
          <w:numId w:val="2"/>
        </w:numPr>
        <w:spacing w:after="80"/>
      </w:pPr>
      <w:r>
        <w:rPr>
          <w:rFonts w:ascii="Arial" w:cs="Arial" w:eastAsia="Arial" w:hAnsi="Arial"/>
          <w:sz w:val="20"/>
          <w:szCs w:val="20"/>
        </w:rPr>
        <w:t xml:space="preserve">Estructuras multinivel con sociedades intermedias sin sustancia económica, cuyo único propósito es dificultar el rastreo de la cadena de titularidad.</w:t>
      </w:r>
    </w:p>
    <w:p>
      <w:pPr>
        <w:pStyle w:val="ListParagraph"/>
        <w:numPr>
          <w:ilvl w:val="0"/>
          <w:numId w:val="2"/>
        </w:numPr>
        <w:spacing w:after="80"/>
      </w:pPr>
      <w:r>
        <w:rPr>
          <w:rFonts w:ascii="Arial" w:cs="Arial" w:eastAsia="Arial" w:hAnsi="Arial"/>
          <w:sz w:val="20"/>
          <w:szCs w:val="20"/>
        </w:rPr>
        <w:t xml:space="preserve">Fideicomisos opacos en los que no se documenta quién es, en última instancia, el fideicomitente o fideicomisario real.</w:t>
      </w:r>
    </w:p>
    <w:p>
      <w:pPr>
        <w:pStyle w:val="ListParagraph"/>
        <w:numPr>
          <w:ilvl w:val="0"/>
          <w:numId w:val="2"/>
        </w:numPr>
        <w:spacing w:after="80"/>
      </w:pPr>
      <w:r>
        <w:rPr>
          <w:rFonts w:ascii="Arial" w:cs="Arial" w:eastAsia="Arial" w:hAnsi="Arial"/>
          <w:sz w:val="20"/>
          <w:szCs w:val="20"/>
        </w:rPr>
        <w:t xml:space="preserve">Administradores “de paja” (nominee directors) que firman documentos pero no participan en ninguna decisión sustantiva de la empresa.</w:t>
      </w:r>
    </w:p>
    <w:p>
      <w:pPr>
        <w:pStyle w:val="Heading2"/>
        <w:spacing w:after="100" w:before="200"/>
      </w:pPr>
      <w:r>
        <w:rPr>
          <w:rFonts w:ascii="Arial" w:cs="Arial" w:eastAsia="Arial" w:hAnsi="Arial"/>
          <w:b/>
          <w:bCs/>
          <w:color w:val="1F3864"/>
          <w:sz w:val="21"/>
          <w:szCs w:val="21"/>
        </w:rPr>
        <w:t xml:space="preserve">7.3 Caso práctico — Módulo Beneficiario Controlador</w:t>
      </w:r>
    </w:p>
    <w:p>
      <w:pPr>
        <w:spacing w:after="60" w:before="0"/>
      </w:pPr>
      <w:r>
        <w:rPr>
          <w:rFonts w:ascii="Arial" w:cs="Arial" w:eastAsia="Arial" w:hAnsi="Arial"/>
          <w:b/>
          <w:bCs/>
          <w:i w:val="false"/>
          <w:iCs w:val="false"/>
          <w:color w:val="000000"/>
          <w:sz w:val="20"/>
          <w:szCs w:val="20"/>
        </w:rPr>
        <w:t xml:space="preserve">Situación</w:t>
      </w:r>
    </w:p>
    <w:p>
      <w:pPr>
        <w:spacing w:after="100" w:before="0"/>
      </w:pPr>
      <w:r>
        <w:rPr>
          <w:rFonts w:ascii="Arial" w:cs="Arial" w:eastAsia="Arial" w:hAnsi="Arial"/>
          <w:b w:val="false"/>
          <w:bCs w:val="false"/>
          <w:i w:val="false"/>
          <w:iCs w:val="false"/>
          <w:color w:val="000000"/>
          <w:sz w:val="20"/>
          <w:szCs w:val="20"/>
        </w:rPr>
        <w:t xml:space="preserve">Una persona moral de reciente constitución (3 meses) se presenta como cliente para una preventa de $3,500,000 MXN. El representante legal explica que “los verdaderos inversionistas prefieren no aparecer” y que él solo firma por cuenta de ellos. La empresa no tiene libro de socios actualizado y el capital social inicial es de $50,000 MXN.</w:t>
      </w:r>
    </w:p>
    <w:p>
      <w:pPr>
        <w:spacing w:after="60" w:before="0"/>
      </w:pPr>
      <w:r>
        <w:rPr>
          <w:rFonts w:ascii="Arial" w:cs="Arial" w:eastAsia="Arial" w:hAnsi="Arial"/>
          <w:b/>
          <w:bCs/>
          <w:i w:val="false"/>
          <w:iCs w:val="false"/>
          <w:color w:val="000000"/>
          <w:sz w:val="20"/>
          <w:szCs w:val="20"/>
        </w:rPr>
        <w:t xml:space="preserve">Respuesta modelo — Certus PLD</w:t>
      </w:r>
    </w:p>
    <w:p>
      <w:pPr>
        <w:spacing w:after="120" w:before="0"/>
      </w:pPr>
      <w:r>
        <w:rPr>
          <w:rFonts w:ascii="Arial" w:cs="Arial" w:eastAsia="Arial" w:hAnsi="Arial"/>
          <w:b w:val="false"/>
          <w:bCs w:val="false"/>
          <w:i w:val="false"/>
          <w:iCs w:val="false"/>
          <w:color w:val="000000"/>
          <w:sz w:val="20"/>
          <w:szCs w:val="20"/>
        </w:rPr>
        <w:t xml:space="preserve">El representante legal no es, por sí mismo, el Beneficiario Controlador — su firma como apoderado no sustituye la obligación de identificar a quien realmente recibe el beneficio o ejerce el control. La negativa explícita de los “verdaderos inversionistas” a identificarse es, por sí misma, una señal de alerta grave y un indicio de estructuración para evadir la identificación. La operación NO debe formalizarse hasta que se identifique y documente a las personas físicas que aportan los recursos y dirigen la decisión de inversión, conforme a la investigación secuencial del Capítulo 5. De persistir la negativa, debe escalarse al Representante de Cumplimiento y al órgano de administración para decidir si se opera o se rechaza la relación, documentando el hallazgo en el expediente conforme a los criterios de terminación de relaciones comerciales (D5, Cap. 16).</w:t>
      </w:r>
    </w:p>
    <w:p>
      <w:r>
        <w:br w:type="page"/>
      </w:r>
    </w:p>
    <w:p>
      <w:pPr>
        <w:pStyle w:val="Heading1"/>
        <w:spacing w:after="140" w:before="320"/>
      </w:pPr>
      <w:r>
        <w:rPr>
          <w:rFonts w:ascii="Arial" w:cs="Arial" w:eastAsia="Arial" w:hAnsi="Arial"/>
          <w:b/>
          <w:bCs/>
          <w:color w:val="1F3864"/>
          <w:sz w:val="26"/>
          <w:szCs w:val="26"/>
        </w:rPr>
        <w:t xml:space="preserve">Capítulo 8: Expediente del Beneficiario Controlador</w:t>
      </w:r>
    </w:p>
    <w:p>
      <w:pPr>
        <w:spacing w:after="120" w:before="0"/>
      </w:pPr>
      <w:r>
        <w:rPr>
          <w:rFonts w:ascii="Arial" w:cs="Arial" w:eastAsia="Arial" w:hAnsi="Arial"/>
          <w:b w:val="false"/>
          <w:bCs w:val="false"/>
          <w:i w:val="false"/>
          <w:iCs w:val="false"/>
          <w:color w:val="000000"/>
          <w:sz w:val="20"/>
          <w:szCs w:val="20"/>
        </w:rPr>
        <w:t xml:space="preserve">Conforme a las reglas 2.8.1.20 a 2.8.1.23 de la Resolución Miscelánea Fiscal y al artículo 18 fracción III de la LFPIORPI (reglamentado por el Art. 23 Quinquies RCG), la información debe ser fidedigna, completa y estar actualizada. El expediente de cada Beneficiario Controlador identificado debe integrar, como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Documento / dato</w:t>
            </w:r>
          </w:p>
        </w:tc>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Incluido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Nombre completo y, en su caso, nombres anteriores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CURP y RFC</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Nacionalidad y país de residencia fiscal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Fecha de nacimiento</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Domicilio particular y comprobante</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oficial vigente (copia legible)</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Porcentaje de participación directa e indirecta, o descripción del mecanismo de control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 documentada (cuando el BC es indirecto)</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Fecha desde la cual ostenta la calidad de Beneficiario Controlador</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Declaración firmada bajo protesta de decir verdad (Capítulo 9 de este Manual)</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Evaluación EBR — Beneficiario Controlador (Capítulo 6 de este Manual)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Constancia de excepción aplicable, en su caso (Art. 23 Quinquies 2 RCG)</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  [ ] No aplica</w:t>
            </w:r>
          </w:p>
        </w:tc>
      </w:tr>
    </w:tbl>
    <w:p>
      <w:pPr>
        <w:pStyle w:val="Heading2"/>
        <w:spacing w:after="100" w:before="200"/>
      </w:pPr>
      <w:r>
        <w:rPr>
          <w:rFonts w:ascii="Arial" w:cs="Arial" w:eastAsia="Arial" w:hAnsi="Arial"/>
          <w:b/>
          <w:bCs/>
          <w:color w:val="1F3864"/>
          <w:sz w:val="21"/>
          <w:szCs w:val="21"/>
        </w:rPr>
        <w:t xml:space="preserve">8.1 Ciclo de vida de la documentación</w:t>
      </w:r>
    </w:p>
    <w:p>
      <w:pPr>
        <w:pStyle w:val="ListParagraph"/>
        <w:numPr>
          <w:ilvl w:val="0"/>
          <w:numId w:val="2"/>
        </w:numPr>
        <w:spacing w:after="80"/>
      </w:pPr>
      <w:r>
        <w:rPr>
          <w:rFonts w:ascii="Arial" w:cs="Arial" w:eastAsia="Arial" w:hAnsi="Arial"/>
          <w:sz w:val="20"/>
          <w:szCs w:val="20"/>
        </w:rPr>
        <w:t xml:space="preserve">Obtención inicial: al momento de constituir la sociedad, de incorporar un nuevo socio, o de integrar el expediente KYC de un cliente persona moral.</w:t>
      </w:r>
    </w:p>
    <w:p>
      <w:pPr>
        <w:pStyle w:val="ListParagraph"/>
        <w:numPr>
          <w:ilvl w:val="0"/>
          <w:numId w:val="2"/>
        </w:numPr>
        <w:spacing w:after="80"/>
      </w:pPr>
      <w:r>
        <w:rPr>
          <w:rFonts w:ascii="Arial" w:cs="Arial" w:eastAsia="Arial" w:hAnsi="Arial"/>
          <w:sz w:val="20"/>
          <w:szCs w:val="20"/>
        </w:rPr>
        <w:t xml:space="preserve">Validación: el Representante de Cumplimiento confirma la consistencia entre lo declarado y el acta constitutiva o libro de socios.</w:t>
      </w:r>
    </w:p>
    <w:p>
      <w:pPr>
        <w:pStyle w:val="ListParagraph"/>
        <w:numPr>
          <w:ilvl w:val="0"/>
          <w:numId w:val="2"/>
        </w:numPr>
        <w:spacing w:after="80"/>
      </w:pPr>
      <w:r>
        <w:rPr>
          <w:rFonts w:ascii="Arial" w:cs="Arial" w:eastAsia="Arial" w:hAnsi="Arial"/>
          <w:sz w:val="20"/>
          <w:szCs w:val="20"/>
        </w:rPr>
        <w:t xml:space="preserve">Conservación: como parte de la contabilidad (CFF) y del expediente KYC (LFPIORPI), conforme a los plazos del Capítulo 10.</w:t>
      </w:r>
    </w:p>
    <w:p>
      <w:pPr>
        <w:pStyle w:val="ListParagraph"/>
        <w:numPr>
          <w:ilvl w:val="0"/>
          <w:numId w:val="2"/>
        </w:numPr>
        <w:spacing w:after="80"/>
      </w:pPr>
      <w:r>
        <w:rPr>
          <w:rFonts w:ascii="Arial" w:cs="Arial" w:eastAsia="Arial" w:hAnsi="Arial"/>
          <w:sz w:val="20"/>
          <w:szCs w:val="20"/>
        </w:rPr>
        <w:t xml:space="preserve">Actualización: ante cualquier cambio en la tenencia, el control o los datos personales del Beneficiario Controlador.</w:t>
      </w:r>
    </w:p>
    <w:p>
      <w:pPr>
        <w:pStyle w:val="ListParagraph"/>
        <w:numPr>
          <w:ilvl w:val="0"/>
          <w:numId w:val="2"/>
        </w:numPr>
        <w:spacing w:after="80"/>
      </w:pPr>
      <w:r>
        <w:rPr>
          <w:rFonts w:ascii="Arial" w:cs="Arial" w:eastAsia="Arial" w:hAnsi="Arial"/>
          <w:sz w:val="20"/>
          <w:szCs w:val="20"/>
        </w:rPr>
        <w:t xml:space="preserve">Disposición: una vez vencido el plazo legal de conservación y sin perjuicio de requerimientos vigentes de la autoridad.</w:t>
      </w:r>
    </w:p>
    <w:p>
      <w:r>
        <w:br w:type="page"/>
      </w:r>
    </w:p>
    <w:p>
      <w:pPr>
        <w:pStyle w:val="Heading1"/>
        <w:spacing w:after="140" w:before="320"/>
      </w:pPr>
      <w:r>
        <w:rPr>
          <w:rFonts w:ascii="Arial" w:cs="Arial" w:eastAsia="Arial" w:hAnsi="Arial"/>
          <w:b/>
          <w:bCs/>
          <w:color w:val="1F3864"/>
          <w:sz w:val="26"/>
          <w:szCs w:val="26"/>
        </w:rPr>
        <w:t xml:space="preserve">Capítulo 9: Formato de Declaración del Beneficiario Controlador (Anexo)</w:t>
      </w:r>
    </w:p>
    <w:p>
      <w:pPr>
        <w:spacing w:after="120" w:before="0"/>
      </w:pPr>
      <w:r>
        <w:rPr>
          <w:rFonts w:ascii="Arial" w:cs="Arial" w:eastAsia="Arial" w:hAnsi="Arial"/>
          <w:b w:val="false"/>
          <w:bCs w:val="false"/>
          <w:i w:val="false"/>
          <w:iCs w:val="false"/>
          <w:color w:val="000000"/>
          <w:sz w:val="20"/>
          <w:szCs w:val="20"/>
        </w:rPr>
        <w:t xml:space="preserve">Este formato se utiliza tanto para identificar al Beneficiario Controlador de [Empresa] (obligación propia ante el CFF y la Secretaría de Economía) como para integrar el Beneficiario Controlador de un cliente persona moral dentro del expediente KYC (D7).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Persona moral / fideicomiso evaluado: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[Razón social]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RFC: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[RFC]</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evaluación: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[Fecha]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Evaluado por: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[Nombre del Representante de Cumplimiento]</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1"/>
          <w:szCs w:val="21"/>
        </w:rPr>
        <w:t xml:space="preserve">9.1 Registro de Beneficiarios Controladores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300"/>
        <w:gridCol w:w="1100"/>
        <w:gridCol w:w="1100"/>
        <w:gridCol w:w="2660"/>
        <w:gridCol w:w="800"/>
      </w:tblGrid>
      <w:tr>
        <w:trPr>
          <w:tblHeader/>
        </w:trPr>
        <w:tc>
          <w:tcPr>
            <w:tcW w:type="dxa" w:w="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No.</w:t>
            </w:r>
          </w:p>
        </w:tc>
        <w:tc>
          <w:tcPr>
            <w:tcW w:type="dxa" w:w="1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Nombre completo</w:t>
            </w:r>
          </w:p>
        </w:tc>
        <w:tc>
          <w:tcPr>
            <w:tcW w:type="dxa" w:w="1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CURP / RFC</w:t>
            </w:r>
          </w:p>
        </w:tc>
        <w:tc>
          <w:tcPr>
            <w:tcW w:type="dxa" w:w="11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 Particip. directa</w:t>
            </w:r>
          </w:p>
        </w:tc>
        <w:tc>
          <w:tcPr>
            <w:tcW w:type="dxa" w:w="11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 Particip. indirecta</w:t>
            </w:r>
          </w:p>
        </w:tc>
        <w:tc>
          <w:tcPr>
            <w:tcW w:type="dxa" w:w="26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Tipo</w:t>
            </w:r>
          </w:p>
        </w:tc>
        <w:tc>
          <w:tcPr>
            <w:tcW w:type="dxa" w:w="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Fecha identif.</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r>
        <w:tc>
          <w:tcPr>
            <w:tcW w:type="dxa" w:w="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w:t>
            </w:r>
          </w:p>
        </w:tc>
        <w:tc>
          <w:tcPr>
            <w:tcW w:type="dxa" w:w="19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Declaración: </w:t>
            </w:r>
            <w:r>
              <w:rPr>
                <w:rFonts w:ascii="Arial" w:cs="Arial" w:eastAsia="Arial" w:hAnsi="Arial"/>
                <w:sz w:val="19"/>
                <w:szCs w:val="19"/>
              </w:rPr>
              <w:t xml:space="preserve">El (los) suscrito(s) declara(n) bajo protesta de decir verdad que la información proporcionada en el presente formato es fidedigna, completa y refleja la situación actual de control y/o titularidad sobre la entidad antes señalada, y se compromete(n) a notificar a [Empresa] cualquier modificación dentro de los 15 días hábiles siguientes a que ésta ocurra.</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Nombre del Beneficiario Controlador: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Firma: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Validado por (Repr. de Cumplimiento):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validación: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bl>
    <w:p>
      <w:r>
        <w:br w:type="page"/>
      </w:r>
    </w:p>
    <w:p>
      <w:pPr>
        <w:pStyle w:val="Heading1"/>
        <w:spacing w:after="140" w:before="320"/>
      </w:pPr>
      <w:r>
        <w:rPr>
          <w:rFonts w:ascii="Arial" w:cs="Arial" w:eastAsia="Arial" w:hAnsi="Arial"/>
          <w:b/>
          <w:bCs/>
          <w:color w:val="1F3864"/>
          <w:sz w:val="26"/>
          <w:szCs w:val="26"/>
        </w:rPr>
        <w:t xml:space="preserve">Capítulo 10: Conservación, Vida Corporativa y Actualización</w:t>
      </w:r>
    </w:p>
    <w:p>
      <w:pPr>
        <w:pStyle w:val="Heading2"/>
        <w:spacing w:after="100" w:before="200"/>
      </w:pPr>
      <w:r>
        <w:rPr>
          <w:rFonts w:ascii="Arial" w:cs="Arial" w:eastAsia="Arial" w:hAnsi="Arial"/>
          <w:b/>
          <w:bCs/>
          <w:color w:val="1F3864"/>
          <w:sz w:val="21"/>
          <w:szCs w:val="21"/>
        </w:rPr>
        <w:t xml:space="preserve">10.1 Plazos de conservación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Régimen</w:t>
            </w:r>
          </w:p>
        </w:tc>
        <w:tc>
          <w:tcPr>
            <w:tcW w:type="dxa" w:w="40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Plazo</w:t>
            </w:r>
          </w:p>
        </w:tc>
        <w:tc>
          <w:tcPr>
            <w:tcW w:type="dxa" w:w="2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Fundamento</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CFF — como parte de la contabilidad</w:t>
            </w:r>
          </w:p>
        </w:tc>
        <w:tc>
          <w:tcPr>
            <w:tcW w:type="dxa" w:w="4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El mismo plazo aplicable a la contabilidad en general; debe mantenerse vigente y disponible para requerimiento del SAT</w:t>
            </w:r>
          </w:p>
        </w:tc>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Art. 32-B Ter CFF, en relación con el Art. 30 CFF</w:t>
            </w:r>
          </w:p>
        </w:tc>
      </w:tr>
      <w:tr>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LFPIORPI — expediente KYC del cliente</w:t>
            </w:r>
          </w:p>
        </w:tc>
        <w:tc>
          <w:tcPr>
            <w:tcW w:type="dxa" w:w="40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 años contados a partir de la fecha de la Actividad Vulnerable</w:t>
            </w:r>
          </w:p>
        </w:tc>
        <w:tc>
          <w:tcPr>
            <w:tcW w:type="dxa" w:w="2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Art. 18 LFPIORPI, reformado; ver D10, Sección II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Consistencia con D10: </w:t>
            </w:r>
            <w:r>
              <w:rPr>
                <w:rFonts w:ascii="Arial" w:cs="Arial" w:eastAsia="Arial" w:hAnsi="Arial"/>
                <w:sz w:val="19"/>
                <w:szCs w:val="19"/>
              </w:rPr>
              <w:t xml:space="preserve">El plazo de conservación del expediente KYC —incluida la documentación del Beneficiario Controlador— es de 10 años. El Documento D10 (Política de Resguardo Documental) ya refleja este plazo de forma consolidada, incluyendo la excepción de 5 años aplicable únicamente al dictamen de auditoría anual (Art. 51 RCG).</w:t>
            </w:r>
          </w:p>
        </w:tc>
      </w:tr>
    </w:tbl>
    <w:p>
      <w:pPr>
        <w:pStyle w:val="Heading2"/>
        <w:spacing w:after="100" w:before="200"/>
      </w:pPr>
      <w:r>
        <w:rPr>
          <w:rFonts w:ascii="Arial" w:cs="Arial" w:eastAsia="Arial" w:hAnsi="Arial"/>
          <w:b/>
          <w:bCs/>
          <w:color w:val="1F3864"/>
          <w:sz w:val="21"/>
          <w:szCs w:val="21"/>
        </w:rPr>
        <w:t xml:space="preserve">10.2 Actualización ante cambios</w:t>
      </w:r>
    </w:p>
    <w:p>
      <w:pPr>
        <w:spacing w:after="120" w:before="0"/>
      </w:pPr>
      <w:r>
        <w:rPr>
          <w:rFonts w:ascii="Arial" w:cs="Arial" w:eastAsia="Arial" w:hAnsi="Arial"/>
          <w:b w:val="false"/>
          <w:bCs w:val="false"/>
          <w:i w:val="false"/>
          <w:iCs w:val="false"/>
          <w:color w:val="000000"/>
          <w:sz w:val="20"/>
          <w:szCs w:val="20"/>
        </w:rPr>
        <w:t xml:space="preserve">Toda modificación en la identidad, la participación o el mecanismo de control del Beneficiario Controlador debe notificarse y documentarse dentro de los 15 días hábiles siguientes a que dicha modificación ocurra (Art. 32-B Quinquies CFF). Los eventos típicos que obligan a actualizar el expediente incluyen: transmisión de acciones o partes sociales, modificación de poderes o convenios de voto, fallecimiento o sustitución de un socio, fusión, escisión o cambio en el fiduciario o fideicomisario de un fideicomiso.</w:t>
      </w:r>
    </w:p>
    <w:p>
      <w:pPr>
        <w:pStyle w:val="Heading2"/>
        <w:spacing w:after="100" w:before="200"/>
      </w:pPr>
      <w:r>
        <w:rPr>
          <w:rFonts w:ascii="Arial" w:cs="Arial" w:eastAsia="Arial" w:hAnsi="Arial"/>
          <w:b/>
          <w:bCs/>
          <w:color w:val="1F3864"/>
          <w:sz w:val="21"/>
          <w:szCs w:val="21"/>
        </w:rPr>
        <w:t xml:space="preserve">10.3 Vida corporativa y declaración de socios</w:t>
      </w:r>
    </w:p>
    <w:p>
      <w:pPr>
        <w:pStyle w:val="ListParagraph"/>
        <w:numPr>
          <w:ilvl w:val="0"/>
          <w:numId w:val="2"/>
        </w:numPr>
        <w:spacing w:after="80"/>
      </w:pPr>
      <w:r>
        <w:rPr>
          <w:rFonts w:ascii="Arial" w:cs="Arial" w:eastAsia="Arial" w:hAnsi="Arial"/>
          <w:sz w:val="20"/>
          <w:szCs w:val="20"/>
        </w:rPr>
        <w:t xml:space="preserve">El libro de registro de socios o acciones debe mantenerse físicamente actualizado y ser congruente, en todo momento, con la información declarada como Beneficiario Controlador.</w:t>
      </w:r>
    </w:p>
    <w:p>
      <w:pPr>
        <w:pStyle w:val="ListParagraph"/>
        <w:numPr>
          <w:ilvl w:val="0"/>
          <w:numId w:val="2"/>
        </w:numPr>
        <w:spacing w:after="80"/>
      </w:pPr>
      <w:r>
        <w:rPr>
          <w:rFonts w:ascii="Arial" w:cs="Arial" w:eastAsia="Arial" w:hAnsi="Arial"/>
          <w:sz w:val="20"/>
          <w:szCs w:val="20"/>
        </w:rPr>
        <w:t xml:space="preserve">Se recomienda incorporar la revalidación del Beneficiario Controlador como punto de la orden del día en la asamblea ordinaria anual de socios o accionistas, dejando constancia en el acta correspondiente.</w:t>
      </w:r>
    </w:p>
    <w:p>
      <w:pPr>
        <w:pStyle w:val="ListParagraph"/>
        <w:numPr>
          <w:ilvl w:val="0"/>
          <w:numId w:val="2"/>
        </w:numPr>
        <w:spacing w:after="80"/>
      </w:pPr>
      <w:r>
        <w:rPr>
          <w:rFonts w:ascii="Arial" w:cs="Arial" w:eastAsia="Arial" w:hAnsi="Arial"/>
          <w:sz w:val="20"/>
          <w:szCs w:val="20"/>
        </w:rPr>
        <w:t xml:space="preserve">Cualquier transmisión de dominio o constitución de derechos sobre acciones o partes sociales debe reflejarse de inmediato en el libro de socios y notificarse en el sistema electrónico de la Secretaría de Economía (Art. 33 Bis LFPIORPI).</w:t>
      </w:r>
    </w:p>
    <w:p>
      <w:pPr>
        <w:pStyle w:val="Heading1"/>
        <w:spacing w:after="140" w:before="320"/>
      </w:pPr>
      <w:r>
        <w:rPr>
          <w:rFonts w:ascii="Arial" w:cs="Arial" w:eastAsia="Arial" w:hAnsi="Arial"/>
          <w:b/>
          <w:bCs/>
          <w:color w:val="1F3864"/>
          <w:sz w:val="26"/>
          <w:szCs w:val="26"/>
        </w:rPr>
        <w:t xml:space="preserve">Capítulo 11: Infracciones y Sanciones</w:t>
      </w:r>
    </w:p>
    <w:p>
      <w:pPr>
        <w:pStyle w:val="Heading2"/>
        <w:spacing w:after="100" w:before="200"/>
      </w:pPr>
      <w:r>
        <w:rPr>
          <w:rFonts w:ascii="Arial" w:cs="Arial" w:eastAsia="Arial" w:hAnsi="Arial"/>
          <w:b/>
          <w:bCs/>
          <w:color w:val="1F3864"/>
          <w:sz w:val="21"/>
          <w:szCs w:val="21"/>
        </w:rPr>
        <w:t xml:space="preserve">11.1 Sanciones fiscales (CFF, artículos 84-M y 84-N)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rPr>
          <w:tblHeader/>
        </w:trPr>
        <w:tc>
          <w:tcPr>
            <w:tcW w:type="dxa" w:w="5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Infracción (Art. 84-M)</w:t>
            </w:r>
          </w:p>
        </w:tc>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Multa por cada Beneficiario Controlador (Art. 84-N)*</w:t>
            </w:r>
          </w:p>
        </w:tc>
      </w:tr>
      <w:tr>
        <w:tc>
          <w:tcPr>
            <w:tcW w:type="dxa" w:w="5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obtener, no conservar o no presentar la información al SAT dentro de los plazos establecidos</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$1,500,000 a $2,000,000 MXN</w:t>
            </w:r>
          </w:p>
        </w:tc>
      </w:tr>
      <w:tr>
        <w:tc>
          <w:tcPr>
            <w:tcW w:type="dxa" w:w="58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mantener actualizada la información del Beneficiario Controlador</w:t>
            </w:r>
          </w:p>
        </w:tc>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$800,000 a $1,000,000 MXN</w:t>
            </w:r>
          </w:p>
        </w:tc>
      </w:tr>
      <w:tr>
        <w:tc>
          <w:tcPr>
            <w:tcW w:type="dxa" w:w="5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Presentar la información de forma incompleta, inexacta, con errores o en forma distinta a la señalada</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$500,000 a $800,000 MXN</w:t>
            </w:r>
          </w:p>
        </w:tc>
      </w:tr>
    </w:tbl>
    <w:p>
      <w:pPr>
        <w:spacing w:after="120" w:before="0"/>
      </w:pPr>
      <w:r>
        <w:rPr>
          <w:rFonts w:ascii="Arial" w:cs="Arial" w:eastAsia="Arial" w:hAnsi="Arial"/>
          <w:b w:val="false"/>
          <w:bCs w:val="false"/>
          <w:i/>
          <w:iCs/>
          <w:color w:val="595959"/>
          <w:sz w:val="17"/>
          <w:szCs w:val="17"/>
        </w:rPr>
        <w:t xml:space="preserve">* Montos base; se actualizan anualmente por inflación. Adicionalmente, el incumplimiento genera que la Opinión de Cumplimiento de Obligaciones Fiscales se emita en sentido negativo (Art. 32-D CFF), con las consecuencias administrativas que ello conlleva (impedimento para contratar con el sector público, obtener devoluciones de impuestos, etc.). Se recomienda confirmar los montos vigentes con el contador público de [Empresa].</w:t>
      </w:r>
    </w:p>
    <w:p>
      <w:pPr>
        <w:pStyle w:val="Heading2"/>
        <w:spacing w:after="100" w:before="200"/>
      </w:pPr>
      <w:r>
        <w:rPr>
          <w:rFonts w:ascii="Arial" w:cs="Arial" w:eastAsia="Arial" w:hAnsi="Arial"/>
          <w:b/>
          <w:bCs/>
          <w:color w:val="1F3864"/>
          <w:sz w:val="21"/>
          <w:szCs w:val="21"/>
        </w:rPr>
        <w:t xml:space="preserve">11.2 Sanciones antilavado (LFPIORPI, artículos 53 a 54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Infracción</w:t>
            </w:r>
          </w:p>
        </w:tc>
        <w:tc>
          <w:tcPr>
            <w:tcW w:type="dxa" w:w="4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Sanción (UMA 2026: $117.31 MXN)</w:t>
            </w:r>
          </w:p>
        </w:tc>
      </w:tr>
      <w:tr>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Incumplir las obligaciones de registro del Beneficiario Controlador (Arts. 33, 33 Bis, 33 Ter)</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2,000 a 10,000 UMA  (~$234,620 a $1,173,100 MXN)</w:t>
            </w:r>
          </w:p>
        </w:tc>
      </w:tr>
      <w:tr>
        <w:tc>
          <w:tcPr>
            <w:tcW w:type="dxa" w:w="5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Casos graves o reiterados</w:t>
            </w:r>
          </w:p>
        </w:tc>
        <w:tc>
          <w:tcPr>
            <w:tcW w:type="dxa" w:w="4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10,000 a 65,000 UMA, o del 10% al 100% del valor de la operación  (~$1,173,100 a $7,625,150 MXN)</w:t>
            </w:r>
          </w:p>
        </w:tc>
      </w:tr>
      <w:tr>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Medidas adicionales</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Suspensión temporal de operaciones (Art. 54 Bis)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Ventana de oportunidad: </w:t>
            </w:r>
            <w:r>
              <w:rPr>
                <w:rFonts w:ascii="Arial" w:cs="Arial" w:eastAsia="Arial" w:hAnsi="Arial"/>
                <w:sz w:val="19"/>
                <w:szCs w:val="19"/>
              </w:rPr>
              <w:t xml:space="preserve">Al igual que con el resto de las obligaciones LFPIORPI, la actuación espontánea (Art. 93 CFF, en relación con el Art. 47 del Reglamento) permite reducir hasta un 50% las multas acumuladas si [Empresa] regulariza su identificación del Beneficiario Controlador antes de que el SAT o la UIF inicien facultades de verificación. La integración de este Manual y de su Anexo (Capítulo 9) constituye, junto con el resto del expediente D0-D14, la evidencia objetiva de dicha regularización.</w:t>
            </w:r>
          </w:p>
        </w:tc>
      </w:tr>
    </w:tbl>
    <w:p>
      <w:pPr>
        <w:pStyle w:val="Heading1"/>
        <w:spacing w:after="140" w:before="320"/>
      </w:pPr>
      <w:r>
        <w:rPr>
          <w:rFonts w:ascii="Arial" w:cs="Arial" w:eastAsia="Arial" w:hAnsi="Arial"/>
          <w:b/>
          <w:bCs/>
          <w:color w:val="1F3864"/>
          <w:sz w:val="26"/>
          <w:szCs w:val="26"/>
        </w:rPr>
        <w:t xml:space="preserve">Capítulo 12: Glosario y Referencias Normativas</w:t>
      </w:r>
    </w:p>
    <w:p>
      <w:pPr>
        <w:pStyle w:val="Heading2"/>
        <w:spacing w:after="100" w:before="200"/>
      </w:pPr>
      <w:r>
        <w:rPr>
          <w:rFonts w:ascii="Arial" w:cs="Arial" w:eastAsia="Arial" w:hAnsi="Arial"/>
          <w:b/>
          <w:bCs/>
          <w:color w:val="1F3864"/>
          <w:sz w:val="21"/>
          <w:szCs w:val="21"/>
        </w:rPr>
        <w:t xml:space="preserve">12.1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Término</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Definición breve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Controlador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Persona física o grupo de personas físicas que, en última instancia, obtiene el beneficio o ejerce el control de una persona moral, fideicomiso o figura jurídica.</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Titularidad</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Quien recibe el beneficio económico de la entidad, con o sin tenencia formal relevante de capital.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Control</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Quien ejerce control efectivo (veto, nombramiento de administradores, dirección estratégica) aun sin participación accionaria relevante.</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Velo corporativo</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Separación legal entre una entidad y las personas físicas que la controlan o se benefician de ella.</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Secuencia de entidades intermedias que deben analizarse hasta identificar a la persona física que, en última instancia, posee o controla la entidad original.</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Regla supletoria</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Criterio de cierre conforme al cual, si no se identifica a ninguna persona física por titularidad o control, se considera Beneficiario Controlador a quien ocupe el cargo de mayor jerarquía administrativa.</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GAFI</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Grupo de Acción Financiera Internacional — organismo intergubernamental que emite los estándares globales en materia de prevención de lavado de dinero.</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Look-through</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Técnica de investigación que consiste en “ver a través” de una persona moral intermedia para llegar a la persona física que la controla.</w:t>
            </w:r>
          </w:p>
        </w:tc>
      </w:tr>
    </w:tbl>
    <w:p>
      <w:pPr>
        <w:pStyle w:val="Heading2"/>
        <w:spacing w:after="100" w:before="200"/>
      </w:pPr>
      <w:r>
        <w:rPr>
          <w:rFonts w:ascii="Arial" w:cs="Arial" w:eastAsia="Arial" w:hAnsi="Arial"/>
          <w:b/>
          <w:bCs/>
          <w:color w:val="1F3864"/>
          <w:sz w:val="21"/>
          <w:szCs w:val="21"/>
        </w:rPr>
        <w:t xml:space="preserve">12.2 Referencias normativas</w:t>
      </w:r>
    </w:p>
    <w:p>
      <w:pPr>
        <w:pStyle w:val="ListParagraph"/>
        <w:numPr>
          <w:ilvl w:val="0"/>
          <w:numId w:val="2"/>
        </w:numPr>
        <w:spacing w:after="80"/>
      </w:pPr>
      <w:r>
        <w:rPr>
          <w:rFonts w:ascii="Arial" w:cs="Arial" w:eastAsia="Arial" w:hAnsi="Arial"/>
          <w:sz w:val="20"/>
          <w:szCs w:val="20"/>
        </w:rPr>
        <w:t xml:space="preserve">Código Fiscal de la Federación, artículos 9, 30, 32-D, 32-B Ter, 32-B Quáter, 32-B Quinquies, 42 fracciones XII y XIII, 84-M y 84-N.</w:t>
      </w:r>
    </w:p>
    <w:p>
      <w:pPr>
        <w:pStyle w:val="ListParagraph"/>
        <w:numPr>
          <w:ilvl w:val="0"/>
          <w:numId w:val="2"/>
        </w:numPr>
        <w:spacing w:after="80"/>
      </w:pPr>
      <w:r>
        <w:rPr>
          <w:rFonts w:ascii="Arial" w:cs="Arial" w:eastAsia="Arial" w:hAnsi="Arial"/>
          <w:sz w:val="20"/>
          <w:szCs w:val="20"/>
        </w:rPr>
        <w:t xml:space="preserve">Resolución Miscelánea Fiscal, reglas 2.8.1.20 a 2.8.1.23 (numeración vigente al cierre de esta edición; verificar anualmente con el contador de la empresa, dado que la RMF se publica cada ejercicio fiscal).</w:t>
      </w:r>
    </w:p>
    <w:p>
      <w:pPr>
        <w:pStyle w:val="ListParagraph"/>
        <w:numPr>
          <w:ilvl w:val="0"/>
          <w:numId w:val="2"/>
        </w:numPr>
        <w:spacing w:after="80"/>
      </w:pPr>
      <w:r>
        <w:rPr>
          <w:rFonts w:ascii="Arial" w:cs="Arial" w:eastAsia="Arial" w:hAnsi="Arial"/>
          <w:sz w:val="20"/>
          <w:szCs w:val="20"/>
        </w:rPr>
        <w:t xml:space="preserve">LFPIORPI, artículos 3 fracción III, 17, 18 fracción III, Capítulo IV Bis “Del Beneficiario Controlador” (33 Bis, 33 Ter, 33 Quáter), 41 Bis, 51 Bis, 51 Ter, 53, 54 y 54 Bis.</w:t>
      </w:r>
    </w:p>
    <w:p>
      <w:pPr>
        <w:pStyle w:val="ListParagraph"/>
        <w:numPr>
          <w:ilvl w:val="0"/>
          <w:numId w:val="2"/>
        </w:numPr>
        <w:spacing w:after="80"/>
      </w:pPr>
      <w:r>
        <w:rPr>
          <w:rFonts w:ascii="Arial" w:cs="Arial" w:eastAsia="Arial" w:hAnsi="Arial"/>
          <w:sz w:val="20"/>
          <w:szCs w:val="20"/>
        </w:rPr>
        <w:t xml:space="preserve">Reglamento de la LFPIORPI, reforma publicada en el DOF el 27 de marzo de 2026, vigente desde el 28 de marzo de 2026.</w:t>
      </w:r>
    </w:p>
    <w:p>
      <w:pPr>
        <w:pStyle w:val="ListParagraph"/>
        <w:numPr>
          <w:ilvl w:val="0"/>
          <w:numId w:val="2"/>
        </w:numPr>
        <w:spacing w:after="80"/>
      </w:pPr>
      <w:r>
        <w:rPr>
          <w:rFonts w:ascii="Arial" w:cs="Arial" w:eastAsia="Arial" w:hAnsi="Arial"/>
          <w:sz w:val="20"/>
          <w:szCs w:val="20"/>
        </w:rPr>
        <w:t xml:space="preserve">Reglas de Carácter General de la LFPIORPI, Capítulo III Quinquies “Del Beneficiario Controlador” (artículos 23 Quinquies, 23 Quinquies 1, 23 Quinquies 2 y 23 Quinquies 3), añadido por el Acuerdo 115/2026 (DOF 07/08/2026, en vigor 30/11/2026, exigible desde el 1 de marzo de 2027).</w:t>
      </w:r>
    </w:p>
    <w:p>
      <w:pPr>
        <w:pStyle w:val="ListParagraph"/>
        <w:numPr>
          <w:ilvl w:val="0"/>
          <w:numId w:val="2"/>
        </w:numPr>
        <w:spacing w:after="80"/>
      </w:pPr>
      <w:r>
        <w:rPr>
          <w:rFonts w:ascii="Arial" w:cs="Arial" w:eastAsia="Arial" w:hAnsi="Arial"/>
          <w:sz w:val="20"/>
          <w:szCs w:val="20"/>
        </w:rPr>
        <w:t xml:space="preserve">Recomendaciones del GAFI: R.10 (Debida diligencia del cliente), R.22 (APNFD), R.24 (Transparencia y beneficiario final de personas jurídicas) y R.25 (Transparencia y beneficiario final de estructuras jurídicas).</w:t>
      </w:r>
    </w:p>
    <w:p>
      <w:pPr>
        <w:pStyle w:val="ListParagraph"/>
        <w:numPr>
          <w:ilvl w:val="0"/>
          <w:numId w:val="2"/>
        </w:numPr>
        <w:spacing w:after="80"/>
      </w:pPr>
      <w:r>
        <w:rPr>
          <w:rFonts w:ascii="Arial" w:cs="Arial" w:eastAsia="Arial" w:hAnsi="Arial"/>
          <w:sz w:val="20"/>
          <w:szCs w:val="20"/>
        </w:rPr>
        <w:t xml:space="preserve">Marco BEPS (Base Erosion and Profit Shifting) de la OCDE, en lo relativo al intercambio internacional de información fiscal y la identificación del beneficiario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Alcance de la asesoría: </w:t>
            </w:r>
            <w:r>
              <w:rPr>
                <w:rFonts w:ascii="Arial" w:cs="Arial" w:eastAsia="Arial" w:hAnsi="Arial"/>
                <w:sz w:val="19"/>
                <w:szCs w:val="19"/>
              </w:rPr>
              <w:t xml:space="preserve">Este Manual aborda obligaciones de naturaleza fiscal (CFF) que exceden el alcance estrictamente PLD/FT de Certus Consultores. Se recomienda que la validación final de los aspectos fiscales —en particular los montos de multas vigentes y la numeración exacta de las reglas de la RMF aplicable al ejercicio en curso— sea revisada en conjunto con el contador público o asesor fiscal de [Empresa].</w:t>
            </w:r>
          </w:p>
        </w:tc>
      </w:tr>
    </w:tbl>
    <w:p>
      <w:pPr>
        <w:spacing w:after="200" w:before="0"/>
      </w:pPr>
      <w:r>
        <w:rPr>
          <w:rFonts w:ascii="Arial" w:cs="Arial" w:eastAsia="Arial" w:hAnsi="Arial"/>
          <w:b w:val="false"/>
          <w:bCs w:val="false"/>
          <w:i w:val="false"/>
          <w:iCs w:val="false"/>
          <w:color w:val="000000"/>
          <w:sz w:val="20"/>
          <w:szCs w:val="20"/>
        </w:rPr>
        <w:t xml:space="preserve"/>
      </w:r>
    </w:p>
    <w:p>
      <w:pPr>
        <w:pBdr>
          <w:bottom w:val="single" w:color="C9A84C" w:sz="6" w:space="1"/>
        </w:pBdr>
        <w:spacing w:after="200" w:before="60"/>
      </w:pPr>
      <w:r>
        <w:rPr>
          <w:sz w:val="2"/>
          <w:szCs w:val="2"/>
        </w:rPr>
        <w:t xml:space="preserve"/>
      </w:r>
    </w:p>
    <w:p>
      <w:pPr>
        <w:spacing w:after="140" w:before="0"/>
      </w:pPr>
      <w:r>
        <w:rPr>
          <w:rFonts w:ascii="Arial" w:cs="Arial" w:eastAsia="Arial" w:hAnsi="Arial"/>
          <w:b/>
          <w:bCs/>
          <w:i w:val="false"/>
          <w:iCs w:val="false"/>
          <w:color w:val="1F3864"/>
          <w:sz w:val="21"/>
          <w:szCs w:val="21"/>
        </w:rPr>
        <w:t xml:space="preserve">Firma de adopción del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Aprobado por:</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Cargo:</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[Órgano de administración / Representante de Cumplimiento]</w:t>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Firma:</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595959"/>
        <w:sz w:val="15"/>
        <w:szCs w:val="15"/>
      </w:rPr>
      <w:t xml:space="preserve">CERTUS CONSULTORES  |  Certus PLD  |  Mérida, Yucatán  |  999 163 1363</w:t>
    </w:r>
    <w:r>
      <w:rPr>
        <w:sz w:val="15"/>
        <w:szCs w:val="15"/>
      </w:rPr>
      <w:t xml:space="preserve">	</w:t>
    </w:r>
    <w:r>
      <w:rPr>
        <w:rFonts w:ascii="Arial" w:cs="Arial" w:eastAsia="Arial" w:hAnsi="Arial"/>
        <w:color w:val="595959"/>
        <w:sz w:val="15"/>
        <w:szCs w:val="15"/>
      </w:rPr>
      <w:t xml:space="preserve">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2026-08-11T14:34:37.028Z</dcterms:created>
  <dcterms:modified xsi:type="dcterms:W3CDTF">2026-08-11T14:34:37.028Z</dcterms:modified>
</cp:coreProperties>
</file>

<file path=docProps/custom.xml><?xml version="1.0" encoding="utf-8"?>
<Properties xmlns="http://schemas.openxmlformats.org/officeDocument/2006/custom-properties" xmlns:vt="http://schemas.openxmlformats.org/officeDocument/2006/docPropsVTypes"/>
</file>