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D5-NOT </w:t>
            </w:r>
            <w:r>
              <w:rPr>
                <w:rFonts w:ascii="Calibri" w:cs="Calibri" w:eastAsia="Calibri" w:hAnsi="Calibri"/>
                <w:b/>
                <w:bCs/>
                <w:color w:val="FFFFFF"/>
                <w:sz w:val="22"/>
                <w:szCs w:val="22"/>
              </w:rPr>
              <w:t xml:space="preserve">Manual de Políticas Internas PLD/FT —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Notaría: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[Denominación completa]</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Notario Titular:</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[Nombre]</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Versión:</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[VERSION] — [Fecha de adopción] │ Plantilla Certus PLD, edición octubre 2026 (Acuerdo 115/2026; Capítulo X RCG)</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Aprobó: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[Notario Titular]</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Elaboró: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Certus Consultores │ Certus PLD</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Vigencia: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Un año a partir de la fecha de adopción — revisión anual obligatoria</w:t>
            </w:r>
          </w:p>
        </w:tc>
      </w:tr>
    </w:tbl>
    <w:p/>
    <w:p>
      <w:pPr>
        <w:spacing w:after="110"/>
      </w:pPr>
      <w:r>
        <w:rPr>
          <w:rFonts w:ascii="Calibri" w:cs="Calibri" w:eastAsia="Calibri" w:hAnsi="Calibri"/>
          <w:i/>
          <w:iCs/>
          <w:sz w:val="18"/>
          <w:szCs w:val="18"/>
        </w:rPr>
        <w:t xml:space="preserve">Índice de capítulos: 1. Introducción y marco normativo │ 2. Objeto y alcance │ 3. Organización y responsabilidades │ 4. Identificación y conocimiento del cliente (KYC) │ 5. Enfoque Basado en Riesgo (EBR) │ 6. Personas Expuestas Políticamente (PEP's) y Beneficiario Controlador │ 7. Operaciones inusuales │ 8. Restricción de pagos en efectivo │ 9. Presentación de avisos ante el SAT │ 10. Resguardo documental │ 11. Capacitación │ 12. Auditoría interna │ 13. Perfil transaccional y alertas │ 14. Seguimiento y acumulación │ 15. Listas de autoridades │ 16. Confidencialidad │ 17. Solicitante material de la protocolización │ 18. Fe pública al Poder Judicial (Art. 13 Bis) │ 19. Apertura, limitación y terminación de relaciones │ 20. Mecanismos automatizados │ 21. Selección y capacitación del personal │ 22. Sanciones aplicables │ 23. Actualización del Manual │ 24. Glosario</w:t>
      </w:r>
      <w:r>
        <w:rPr>
          <w:rFonts w:ascii="Calibri" w:cs="Calibri" w:eastAsia="Calibri" w:hAnsi="Calibri"/>
          <w:i/>
          <w:iCs/>
          <w:sz w:val="18"/>
          <w:szCs w:val="18"/>
        </w:rPr>
        <w:t xml:space="preserve"> │ Anexos: A. Correspondencia con el Art. 37 Bis │ B. Cuestionario de Identificación Reforzada │ C. Descripción Operativa │ D. Control de versiones y difusión</w:t>
      </w:r>
    </w:p>
    <w:p>
      <w:pPr>
        <w:shd w:fill="1F3864" w:val="clear"/>
        <w:spacing w:after="100" w:before="220"/>
      </w:pPr>
      <w:r>
        <w:rPr>
          <w:rFonts w:ascii="Calibri" w:cs="Calibri" w:eastAsia="Calibri" w:hAnsi="Calibri"/>
          <w:b/>
          <w:bCs/>
          <w:color w:val="FFFFFF"/>
          <w:sz w:val="22"/>
          <w:szCs w:val="22"/>
        </w:rPr>
        <w:t xml:space="preserve">Capítulo 1: Introducción y Marco Normativo</w:t>
      </w:r>
    </w:p>
    <w:p>
      <w:pPr>
        <w:spacing w:after="110"/>
      </w:pPr>
      <w:r>
        <w:rPr>
          <w:rFonts w:ascii="Calibri" w:cs="Calibri" w:eastAsia="Calibri" w:hAnsi="Calibri"/>
          <w:sz w:val="20"/>
          <w:szCs w:val="20"/>
        </w:rPr>
        <w:t xml:space="preserve">El presente Manual de Políticas Internas en materia PLD/FT es adoptado por el Notario Titular en cumplimiento de las obligaciones establecidas en la LFPIORPI y su Reglamento reformado. Ha sido desarrollado por Certus Consultores a través del Programa Certus PLD, diseñado específicamente para notarías sujetas a la Fracción XII, Apartado A del artículo 17 de la LFPIORPI.</w:t>
      </w:r>
    </w:p>
    <w:p>
      <w:pPr>
        <w:spacing w:after="60" w:before="120"/>
      </w:pPr>
      <w:r>
        <w:rPr>
          <w:rFonts w:ascii="Calibri" w:cs="Calibri" w:eastAsia="Calibri" w:hAnsi="Calibri"/>
          <w:b/>
          <w:bCs/>
          <w:color w:val="0A1628"/>
          <w:sz w:val="19"/>
          <w:szCs w:val="19"/>
        </w:rPr>
        <w:t xml:space="preserve">1.1 Base legal</w:t>
      </w:r>
    </w:p>
    <w:p>
      <w:pPr>
        <w:pStyle w:val="ListParagraph"/>
        <w:numPr>
          <w:ilvl w:val="0"/>
          <w:numId w:val="1"/>
        </w:numPr>
        <w:spacing w:after="40"/>
      </w:pPr>
      <w:r>
        <w:rPr>
          <w:rFonts w:ascii="Calibri" w:cs="Calibri" w:eastAsia="Calibri" w:hAnsi="Calibri"/>
          <w:sz w:val="20"/>
          <w:szCs w:val="20"/>
        </w:rPr>
        <w:t xml:space="preserve">LFPIORPI — reforma DOF 16 de julio de 2025 (vigente desde el 17 de julio de 2025)</w:t>
      </w:r>
    </w:p>
    <w:p>
      <w:pPr>
        <w:pStyle w:val="ListParagraph"/>
        <w:numPr>
          <w:ilvl w:val="0"/>
          <w:numId w:val="1"/>
        </w:numPr>
        <w:spacing w:after="40"/>
      </w:pPr>
      <w:r>
        <w:rPr>
          <w:rFonts w:ascii="Calibri" w:cs="Calibri" w:eastAsia="Calibri" w:hAnsi="Calibri"/>
          <w:sz w:val="20"/>
          <w:szCs w:val="20"/>
        </w:rPr>
        <w:t xml:space="preserve">Reglamento de la LFPIORPI — reforma DOF 27 de marzo de 2026</w:t>
      </w:r>
    </w:p>
    <w:p>
      <w:pPr>
        <w:pStyle w:val="ListParagraph"/>
        <w:numPr>
          <w:ilvl w:val="0"/>
          <w:numId w:val="1"/>
        </w:numPr>
        <w:spacing w:after="40"/>
      </w:pPr>
      <w:r>
        <w:rPr>
          <w:rFonts w:ascii="Calibri" w:cs="Calibri" w:eastAsia="Calibri" w:hAnsi="Calibri"/>
          <w:sz w:val="20"/>
          <w:szCs w:val="20"/>
        </w:rPr>
        <w:t xml:space="preserve">Reglas de Carácter General emitidas por la SHCP (Art. 6, fr. VII, de la Ley) en materia PLD/FT — Acuerdo 115/2026 (DOF 07/08/2026)</w:t>
      </w:r>
    </w:p>
    <w:p>
      <w:pPr>
        <w:pStyle w:val="ListParagraph"/>
        <w:numPr>
          <w:ilvl w:val="0"/>
          <w:numId w:val="1"/>
        </w:numPr>
        <w:spacing w:after="40"/>
      </w:pPr>
      <w:r>
        <w:rPr>
          <w:rFonts w:ascii="Calibri" w:cs="Calibri" w:eastAsia="Calibri" w:hAnsi="Calibri"/>
          <w:sz w:val="20"/>
          <w:szCs w:val="20"/>
        </w:rPr>
        <w:t xml:space="preserve">Fracción aplicable: XII, Apartado A — servicios de fe pública notarial, incisos a) a e)</w:t>
      </w:r>
    </w:p>
    <w:p>
      <w:pPr>
        <w:keepNext/>
        <w:spacing w:after="60" w:before="120"/>
      </w:pPr>
      <w:r>
        <w:rPr>
          <w:rFonts w:ascii="Calibri" w:cs="Calibri" w:eastAsia="Calibri" w:hAnsi="Calibri"/>
          <w:b/>
          <w:bCs/>
          <w:color w:val="0A1628"/>
          <w:sz w:val="19"/>
          <w:szCs w:val="19"/>
        </w:rPr>
        <w:t xml:space="preserve">1.2 Naturaleza, contenido y documentos que integran este Manual</w:t>
      </w:r>
    </w:p>
    <w:p>
      <w:pPr>
        <w:spacing w:after="110"/>
      </w:pPr>
      <w:r>
        <w:rPr>
          <w:rFonts w:ascii="Calibri" w:cs="Calibri" w:eastAsia="Calibri" w:hAnsi="Calibri"/>
          <w:sz w:val="20"/>
          <w:szCs w:val="20"/>
        </w:rPr>
        <w:t xml:space="preserve">Este documento es el Manual de Políticas Internas a que se refieren el Art. 2, fracción XI Bis, y el Capítulo X (Arts. 37 a 37 Bis 3) de las RCG. Contiene, por lo menos, los catorce rubros del Art. 37 Bis, así como el procedimiento y los criterios para la apertura, limitación o terminación de relaciones comerciales (Art. 37, tercer párrafo). El Anexo A relaciona cada rubro con el capítulo o documento que lo desarrolla.</w:t>
      </w:r>
    </w:p>
    <w:p>
      <w:pPr>
        <w:spacing w:after="110"/>
      </w:pPr>
      <w:r>
        <w:rPr>
          <w:rFonts w:ascii="Calibri" w:cs="Calibri" w:eastAsia="Calibri" w:hAnsi="Calibri"/>
          <w:sz w:val="20"/>
          <w:szCs w:val="20"/>
        </w:rPr>
        <w:t xml:space="preserve">Conforme al Art. 37, segundo párrafo, RCG, los documentos del Programa Certus PLD a los que remite este Manual (D6-NOT Metodología EBR, D7-NOT Expediente de identificación, D8-NOT Política de PEP's, D9-NOT Operaciones inusuales, D10-NOT Resguardo documental, D11-NOT/D11B-NOT/D11C-NOT Capacitación, D12-NOT Control de Avisos y D13-NOT Auditoría) forman parte integrante de él; se conservan identificados con su versión y fecha junto con este Manual, y se ponen a disposición de la UIF o del SAT cuando lo requieran.</w:t>
      </w:r>
    </w:p>
    <w:p>
      <w:pPr>
        <w:spacing w:after="110"/>
      </w:pPr>
      <w:r>
        <w:rPr>
          <w:rFonts w:ascii="Calibri" w:cs="Calibri" w:eastAsia="Calibri" w:hAnsi="Calibri"/>
          <w:sz w:val="20"/>
          <w:szCs w:val="20"/>
        </w:rPr>
        <w:t xml:space="preserve">Plazo: el Manual debe existir a los noventa días naturales del alta y registro (Art. 37 RCG). Quien ya estaba registrado antes de la entrada en vigor del Acuerdo 115/2026 debe contar con él, incluida la metodología de evaluación de Riesgos, a partir del 1 de marzo de 2027 (Transitorio Tercero).</w:t>
      </w:r>
    </w:p>
    <w:p>
      <w:pPr>
        <w:spacing w:after="110"/>
      </w:pPr>
      <w:r>
        <w:rPr>
          <w:rFonts w:ascii="Calibri" w:cs="Calibri" w:eastAsia="Calibri" w:hAnsi="Calibri"/>
          <w:sz w:val="20"/>
          <w:szCs w:val="20"/>
        </w:rPr>
        <w:t xml:space="preserve">Correspondencia con la operación real: este Manual debe reflejar la forma en que la Notaría efectivamente lleva a cabo sus actos. Antes de su adopción, y cada vez que cambie la operación, el Notario Titular llena y firma la Descripción Operativa del Anexo C; las políticas de este Manual se aplican conforme a esa descripción.</w:t>
      </w:r>
    </w:p>
    <w:p>
      <w:pPr>
        <w:spacing w:after="110"/>
      </w:pPr>
      <w:r>
        <w:rPr>
          <w:rFonts w:ascii="Calibri" w:cs="Calibri" w:eastAsia="Calibri" w:hAnsi="Calibri"/>
          <w:i/>
          <w:iCs/>
          <w:color w:val="666666"/>
          <w:sz w:val="19"/>
          <w:szCs w:val="19"/>
        </w:rPr>
        <w:t xml:space="preserve">Los parámetros y plazos marcados como "criterio del Programa" no están fijados por la regulación; son mínimos recomendados por Certus PLD que el sujeto obligado puede ajustar con base en los resultados de su metodología, siempre que lo documente en este Manual.</w:t>
      </w:r>
    </w:p>
    <w:p>
      <w:pPr>
        <w:shd w:fill="1F3864" w:val="clear"/>
        <w:spacing w:after="100" w:before="220"/>
      </w:pPr>
      <w:r>
        <w:rPr>
          <w:rFonts w:ascii="Calibri" w:cs="Calibri" w:eastAsia="Calibri" w:hAnsi="Calibri"/>
          <w:b/>
          <w:bCs/>
          <w:color w:val="FFFFFF"/>
          <w:sz w:val="22"/>
          <w:szCs w:val="22"/>
        </w:rPr>
        <w:t xml:space="preserve">Capítulo 2: Objeto y Alcance</w:t>
      </w:r>
    </w:p>
    <w:p>
      <w:pPr>
        <w:spacing w:after="110"/>
      </w:pPr>
      <w:r>
        <w:rPr>
          <w:rFonts w:ascii="Calibri" w:cs="Calibri" w:eastAsia="Calibri" w:hAnsi="Calibri"/>
          <w:sz w:val="20"/>
          <w:szCs w:val="20"/>
        </w:rPr>
        <w:t xml:space="preserve">Este Manual establece los procedimientos, políticas y controles internos que la Notaría implementa para prevenir, detectar y reportar actos que pudieran estar vinculados con el lavado de dinero o el financiamiento al terrorismo, en los actos que el Notario formalice conforme a los incisos a) a e) de la Fracción XII, Apartado A.</w:t>
      </w:r>
    </w:p>
    <w:p>
      <w:pPr>
        <w:spacing w:after="110"/>
      </w:pPr>
      <w:r>
        <w:rPr>
          <w:rFonts w:ascii="Calibri" w:cs="Calibri" w:eastAsia="Calibri" w:hAnsi="Calibri"/>
          <w:sz w:val="20"/>
          <w:szCs w:val="20"/>
        </w:rPr>
        <w:t xml:space="preserve">Supuestos que la Notaría no realiza (Art. 37 Bis 2 RCG). La Notaría hace constar que no formaliza actos de los siguientes incisos de la Fracción XII, Apartado A: [INCISOS QUE LA NOTARÍA NO FORMALIZA, O “NINGUNO”]. Para esos supuestos no se establecen políticas, criterios, medidas o procedimientos en este Manual. Si la Notaría decide formalizarlos, deberá establecer previamente las políticas respectivas en este Manual.</w:t>
      </w:r>
    </w:p>
    <w:p>
      <w:pPr>
        <w:keepNext/>
        <w:spacing w:after="60" w:before="120"/>
      </w:pPr>
      <w:r>
        <w:rPr>
          <w:rFonts w:ascii="Calibri" w:cs="Calibri" w:eastAsia="Calibri" w:hAnsi="Calibri"/>
          <w:b/>
          <w:bCs/>
          <w:color w:val="0A1628"/>
          <w:sz w:val="19"/>
          <w:szCs w:val="19"/>
        </w:rPr>
        <w:t xml:space="preserve">2.1 Nuevos productos, servicios, canales o tipos de clientes (Art. 10 Septies, tercer párrafo, RCG)</w:t>
      </w:r>
    </w:p>
    <w:p>
      <w:pPr>
        <w:spacing w:after="110"/>
      </w:pPr>
      <w:r>
        <w:rPr>
          <w:rFonts w:ascii="Calibri" w:cs="Calibri" w:eastAsia="Calibri" w:hAnsi="Calibri"/>
          <w:sz w:val="20"/>
          <w:szCs w:val="20"/>
        </w:rPr>
        <w:t xml:space="preserve">Antes de ofrecer nuevos medios, canales, modalidades, productos o servicios, o de dirigir su actividad a nuevos tipos de Clientes o Usuarias (por ejemplo, actos u operaciones a distancia, clientes extranjeros, o nuevas fracciones, incisos o líneas de servicio), la Notaría: (i) evalúa por escrito los Riesgos asociados con los elementos de la sección de evaluación de Riesgos de este Manual; (ii) define los Mitigantes; (iii) actualiza este Manual y la Metodología EBR; y (iv) obtiene la aprobación del Notario Titular. La evaluación se conserva por diez años.</w:t>
      </w:r>
    </w:p>
    <w:p>
      <w:pPr>
        <w:keepNext/>
        <w:spacing w:after="60" w:before="120"/>
      </w:pPr>
      <w:r>
        <w:rPr>
          <w:rFonts w:ascii="Calibri" w:cs="Calibri" w:eastAsia="Calibri" w:hAnsi="Calibri"/>
          <w:b/>
          <w:bCs/>
          <w:color w:val="0A1628"/>
          <w:sz w:val="19"/>
          <w:szCs w:val="19"/>
        </w:rPr>
        <w:t xml:space="preserve">2.2 Actos u operaciones por medios electrónicos (Art. 18 RCG)</w:t>
      </w:r>
    </w:p>
    <w:p>
      <w:pPr>
        <w:spacing w:after="110"/>
      </w:pPr>
      <w:r>
        <w:rPr>
          <w:rFonts w:ascii="Calibri" w:cs="Calibri" w:eastAsia="Calibri" w:hAnsi="Calibri"/>
          <w:sz w:val="20"/>
          <w:szCs w:val="20"/>
        </w:rPr>
        <w:t xml:space="preserve">Si la Notaría realiza actos u operaciones a través de medios electrónicos, ópticos o de cualquier otra tecnología, integra el expediente de identificación antes del acto; identifica al Cliente o Usuaria mediante la verificación de su identificación oficial y de su rostro, y la validación de sus datos con las fuentes oficiales disponibles; y aplica controles contra el uso indebido de esos medios (credenciales personales, bitácora de accesos y conservación de la evidencia de identificación en el expediente). Si no los realiza, lo hace constar como supuesto no realizado (Art. 37 Bis 2 RCG).</w:t>
      </w:r>
    </w:p>
    <w:p>
      <w:pPr>
        <w:shd w:fill="1F3864" w:val="clear"/>
        <w:spacing w:after="100" w:before="220"/>
      </w:pPr>
      <w:r>
        <w:rPr>
          <w:rFonts w:ascii="Calibri" w:cs="Calibri" w:eastAsia="Calibri" w:hAnsi="Calibri"/>
          <w:b/>
          <w:bCs/>
          <w:color w:val="FFFFFF"/>
          <w:sz w:val="22"/>
          <w:szCs w:val="22"/>
        </w:rPr>
        <w:t xml:space="preserve">Capítulo 3: Organización y Responsabilidades</w:t>
      </w:r>
    </w:p>
    <w:p>
      <w:pPr>
        <w:spacing w:after="110"/>
      </w:pPr>
      <w:r>
        <w:rPr>
          <w:rFonts w:ascii="Calibri" w:cs="Calibri" w:eastAsia="Calibri" w:hAnsi="Calibri"/>
          <w:sz w:val="20"/>
          <w:szCs w:val="20"/>
        </w:rPr>
        <w:t xml:space="preserve">A diferencia del régimen aplicable a personas morales, no existe un órgano de administración ni un Representante de Cumplimiento registrable ante la Secretaría. Conforme al artículo 20, último párrafo, LFPIORPI, el Notario Titular cumple personal y directamente con las obligaciones de este Manual (ver Constancia de Asunción Personal, D2-NOT).</w:t>
      </w:r>
    </w:p>
    <w:p>
      <w:pPr>
        <w:spacing w:after="60" w:before="120"/>
      </w:pPr>
      <w:r>
        <w:rPr>
          <w:rFonts w:ascii="Calibri" w:cs="Calibri" w:eastAsia="Calibri" w:hAnsi="Calibri"/>
          <w:b/>
          <w:bCs/>
          <w:color w:val="0A1628"/>
          <w:sz w:val="19"/>
          <w:szCs w:val="19"/>
        </w:rPr>
        <w:t xml:space="preserve">3.1 Notario Titular</w:t>
      </w:r>
    </w:p>
    <w:p>
      <w:pPr>
        <w:pStyle w:val="ListParagraph"/>
        <w:numPr>
          <w:ilvl w:val="0"/>
          <w:numId w:val="1"/>
        </w:numPr>
        <w:spacing w:after="40"/>
      </w:pPr>
      <w:r>
        <w:rPr>
          <w:rFonts w:ascii="Calibri" w:cs="Calibri" w:eastAsia="Calibri" w:hAnsi="Calibri"/>
          <w:sz w:val="20"/>
          <w:szCs w:val="20"/>
        </w:rPr>
        <w:t xml:space="preserve">Responsable personal y directo del cumplimiento de este Manual ante el SAT y ante la autoridad estatal competente sobre la fe pública.</w:t>
      </w:r>
    </w:p>
    <w:p>
      <w:pPr>
        <w:pStyle w:val="ListParagraph"/>
        <w:numPr>
          <w:ilvl w:val="0"/>
          <w:numId w:val="1"/>
        </w:numPr>
        <w:spacing w:after="40"/>
      </w:pPr>
      <w:r>
        <w:rPr>
          <w:rFonts w:ascii="Calibri" w:cs="Calibri" w:eastAsia="Calibri" w:hAnsi="Calibri"/>
          <w:sz w:val="20"/>
          <w:szCs w:val="20"/>
        </w:rPr>
        <w:t xml:space="preserve">Mantiene el registro vigente en el portal SPPLD.</w:t>
      </w:r>
    </w:p>
    <w:p>
      <w:pPr>
        <w:pStyle w:val="ListParagraph"/>
        <w:numPr>
          <w:ilvl w:val="0"/>
          <w:numId w:val="1"/>
        </w:numPr>
        <w:spacing w:after="40"/>
      </w:pPr>
      <w:r>
        <w:rPr>
          <w:rFonts w:ascii="Calibri" w:cs="Calibri" w:eastAsia="Calibri" w:hAnsi="Calibri"/>
          <w:sz w:val="20"/>
          <w:szCs w:val="20"/>
        </w:rPr>
        <w:t xml:space="preserve">Presenta los avisos correspondientes dentro de los plazos legales.</w:t>
      </w:r>
    </w:p>
    <w:p>
      <w:pPr>
        <w:spacing w:after="60" w:before="120"/>
      </w:pPr>
      <w:r>
        <w:rPr>
          <w:rFonts w:ascii="Calibri" w:cs="Calibri" w:eastAsia="Calibri" w:hAnsi="Calibri"/>
          <w:b/>
          <w:bCs/>
          <w:color w:val="0A1628"/>
          <w:sz w:val="19"/>
          <w:szCs w:val="19"/>
        </w:rPr>
        <w:t xml:space="preserve">3.2 Encargado Operativo interno (opcional — D2-NOT)</w:t>
      </w:r>
    </w:p>
    <w:p>
      <w:pPr>
        <w:pStyle w:val="ListParagraph"/>
        <w:numPr>
          <w:ilvl w:val="0"/>
          <w:numId w:val="1"/>
        </w:numPr>
        <w:spacing w:after="40"/>
      </w:pPr>
      <w:r>
        <w:rPr>
          <w:rFonts w:ascii="Calibri" w:cs="Calibri" w:eastAsia="Calibri" w:hAnsi="Calibri"/>
          <w:sz w:val="20"/>
          <w:szCs w:val="20"/>
        </w:rPr>
        <w:t xml:space="preserve">Auxilia en la integración de expedientes KYC, la aplicación de la Metodología EBR y el seguimiento de plazos de avisos, bajo la supervisión y responsabilidad personal del Notario Titular.</w:t>
      </w:r>
    </w:p>
    <w:p>
      <w:pPr>
        <w:keepNext/>
        <w:spacing w:after="60" w:before="120"/>
      </w:pPr>
      <w:r>
        <w:rPr>
          <w:rFonts w:ascii="Calibri" w:cs="Calibri" w:eastAsia="Calibri" w:hAnsi="Calibri"/>
          <w:b/>
          <w:bCs/>
          <w:color w:val="0A1628"/>
          <w:sz w:val="19"/>
          <w:szCs w:val="19"/>
        </w:rPr>
        <w:t xml:space="preserve">3.3 Funciones, atribuciones, recursos y responsabilidades (Art. 37 Bis, fr. X, RCG)</w:t>
      </w:r>
    </w:p>
    <w:p>
      <w:pPr>
        <w:spacing w:after="110"/>
      </w:pPr>
      <w:r>
        <w:rPr>
          <w:rFonts w:ascii="Calibri" w:cs="Calibri" w:eastAsia="Calibri" w:hAnsi="Calibri"/>
          <w:sz w:val="20"/>
          <w:szCs w:val="20"/>
        </w:rPr>
        <w:t xml:space="preserve">Al no existir Representante Encargado de Cumplimiento registrable (Art. 20, último párrafo, de la Ley), las funciones que el Art. 37 Bis, fr. X, asigna a esa figura las ejerce el Notario Titular en persona:</w:t>
      </w:r>
    </w:p>
    <w:p>
      <w:pPr>
        <w:pStyle w:val="ListParagraph"/>
        <w:numPr>
          <w:ilvl w:val="0"/>
          <w:numId w:val="1"/>
        </w:numPr>
        <w:spacing w:after="40"/>
      </w:pPr>
      <w:r>
        <w:rPr>
          <w:rFonts w:ascii="Calibri" w:cs="Calibri" w:eastAsia="Calibri" w:hAnsi="Calibri"/>
          <w:sz w:val="20"/>
          <w:szCs w:val="20"/>
        </w:rPr>
        <w:t xml:space="preserve">Funciones: aplicar este Manual; decidir la clasificación de Riesgo, las medidas reforzadas y la abstención; presentar los Avisos e informes; atender requerimientos; y supervisar al Encargado Operativo.</w:t>
      </w:r>
    </w:p>
    <w:p>
      <w:pPr>
        <w:pStyle w:val="ListParagraph"/>
        <w:numPr>
          <w:ilvl w:val="0"/>
          <w:numId w:val="1"/>
        </w:numPr>
        <w:spacing w:after="40"/>
      </w:pPr>
      <w:r>
        <w:rPr>
          <w:rFonts w:ascii="Calibri" w:cs="Calibri" w:eastAsia="Calibri" w:hAnsi="Calibri"/>
          <w:sz w:val="20"/>
          <w:szCs w:val="20"/>
        </w:rPr>
        <w:t xml:space="preserve">Atribuciones del Encargado Operativo (D2-NOT): integrar expedientes, consultar listas y PEP, operar el control mensual y detener cualquier trámite con expediente incompleto o alerta abierta hasta que el Notario Titular resuelva.</w:t>
      </w:r>
    </w:p>
    <w:p>
      <w:pPr>
        <w:pStyle w:val="ListParagraph"/>
        <w:numPr>
          <w:ilvl w:val="0"/>
          <w:numId w:val="1"/>
        </w:numPr>
        <w:spacing w:after="40"/>
      </w:pPr>
      <w:r>
        <w:rPr>
          <w:rFonts w:ascii="Calibri" w:cs="Calibri" w:eastAsia="Calibri" w:hAnsi="Calibri"/>
          <w:sz w:val="20"/>
          <w:szCs w:val="20"/>
        </w:rPr>
        <w:t xml:space="preserve">Recursos: [RECURSOS ASIGNADOS — tiempo dedicado, personal de apoyo, herramientas y presupuesto de capacitación y asesoría].</w:t>
      </w:r>
    </w:p>
    <w:p>
      <w:pPr>
        <w:pStyle w:val="ListParagraph"/>
        <w:numPr>
          <w:ilvl w:val="0"/>
          <w:numId w:val="1"/>
        </w:numPr>
        <w:spacing w:after="40"/>
      </w:pPr>
      <w:r>
        <w:rPr>
          <w:rFonts w:ascii="Calibri" w:cs="Calibri" w:eastAsia="Calibri" w:hAnsi="Calibri"/>
          <w:sz w:val="20"/>
          <w:szCs w:val="20"/>
        </w:rPr>
        <w:t xml:space="preserve">Ausencias: cuando, conforme a la legislación aplicable, otro fedatario actúe en sustitución del Notario Titular, aplica este Manual en los actos que autorice, y el Notario Titular revisa a su regreso los expedientes y Avisos correspondientes [VERIFICAR conforme a la ley local o federal aplicable].</w:t>
      </w:r>
    </w:p>
    <w:p>
      <w:pPr>
        <w:shd w:fill="1F3864" w:val="clear"/>
        <w:spacing w:after="100" w:before="220"/>
      </w:pPr>
      <w:r>
        <w:rPr>
          <w:rFonts w:ascii="Calibri" w:cs="Calibri" w:eastAsia="Calibri" w:hAnsi="Calibri"/>
          <w:b/>
          <w:bCs/>
          <w:color w:val="FFFFFF"/>
          <w:sz w:val="22"/>
          <w:szCs w:val="22"/>
        </w:rPr>
        <w:t xml:space="preserve">Capítulo 4: Identificación y Conocimiento del Cliente (KYC)</w:t>
      </w:r>
    </w:p>
    <w:p>
      <w:pPr>
        <w:spacing w:after="110"/>
      </w:pPr>
      <w:r>
        <w:rPr>
          <w:rFonts w:ascii="Calibri" w:cs="Calibri" w:eastAsia="Calibri" w:hAnsi="Calibri"/>
          <w:sz w:val="20"/>
          <w:szCs w:val="20"/>
        </w:rPr>
        <w:t xml:space="preserve">Toda persona que comparezca a formalizar un acto ante la fe pública del Notario debe ser identificada ANTES de la formalización. Se integra un expediente KYC conforme al Documento D7-NOT.</w:t>
      </w:r>
    </w:p>
    <w:p>
      <w:pPr>
        <w:spacing w:after="60" w:before="120"/>
      </w:pPr>
      <w:r>
        <w:rPr>
          <w:rFonts w:ascii="Calibri" w:cs="Calibri" w:eastAsia="Calibri" w:hAnsi="Calibri"/>
          <w:b/>
          <w:bCs/>
          <w:color w:val="0A1628"/>
          <w:sz w:val="19"/>
          <w:szCs w:val="19"/>
        </w:rPr>
        <w:t xml:space="preserve">4.1 Umbrales de identificación y aviso (Fracción XII, Apartado A — UMA 2026: $117.31 MXN)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00"/>
        <w:gridCol w:w="2550"/>
      </w:tblGrid>
      <w:tr>
        <w:trPr>
          <w:tblHeader/>
        </w:trPr>
        <w:tc>
          <w:tcPr>
            <w:tcW w:type="dxa" w:w="9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Inciso</w:t>
            </w:r>
          </w:p>
        </w:tc>
        <w:tc>
          <w:tcPr>
            <w:tcW w:type="dxa" w:w="34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Acto</w:t>
            </w:r>
          </w:p>
        </w:tc>
        <w:tc>
          <w:tcPr>
            <w:tcW w:type="dxa" w:w="25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identificación</w:t>
            </w:r>
          </w:p>
        </w:tc>
        <w:tc>
          <w:tcPr>
            <w:tcW w:type="dxa" w:w="255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aviso</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a)</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Transmisión de inmuebles</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8,000 UMA (~$938,480 MXN)</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b)</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Poder irrevocable</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c)</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Sociedades / capital / fusión / acciones</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d)</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Fideicomiso traslativo o de garantía</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4,000 UMA (~$469,240 MXN)</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e)</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Mutuo o crédito</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bl>
    <w:p>
      <w:pPr>
        <w:keepNext/>
        <w:spacing w:after="60" w:before="120"/>
      </w:pPr>
      <w:r>
        <w:rPr>
          <w:rFonts w:ascii="Calibri" w:cs="Calibri" w:eastAsia="Calibri" w:hAnsi="Calibri"/>
          <w:b/>
          <w:bCs/>
          <w:color w:val="0A1628"/>
          <w:sz w:val="19"/>
          <w:szCs w:val="19"/>
        </w:rPr>
        <w:t xml:space="preserve">4.2 Integración, cotejo, verificación y actualización del expediente (Arts. 12, 21 y 22 RCG)</w:t>
      </w:r>
    </w:p>
    <w:p>
      <w:pPr>
        <w:spacing w:after="110"/>
      </w:pPr>
      <w:r>
        <w:rPr>
          <w:rFonts w:ascii="Calibri" w:cs="Calibri" w:eastAsia="Calibri" w:hAnsi="Calibri"/>
          <w:sz w:val="20"/>
          <w:szCs w:val="20"/>
        </w:rPr>
        <w:t xml:space="preserve">El expediente único de identificación se integra antes del acto u operación o, a más tardar, al establecer la Relación de negocios, con los datos y documentos del Anexo de las RCG que corresponda al tipo de Cliente o Usuaria (Art. 12):</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300"/>
      </w:tblGrid>
      <w:tr>
        <w:trPr>
          <w:tblHeader/>
        </w:trPr>
        <w:tc>
          <w:tcPr>
            <w:tcW w:type="dxa" w:w="5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Tipo de Cliente o Usuaria</w:t>
            </w:r>
          </w:p>
        </w:tc>
        <w:tc>
          <w:tcPr>
            <w:tcW w:type="dxa" w:w="4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Anexo RCG</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física mexicana, o extranjera residente temporal o permanente</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3</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mexicana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4</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mexicana de derecho público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Anexos 4 Bis, 7 y 7 Bis (según el caso)</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física extranjera con condición de visitante u otra distinta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5</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extranjera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6</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Embajada, consulado u organismo internacional</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6 Bis</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Fideicomiso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8</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Otra figura o estructura jurídica sin personalidad propia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Criterio del Programa: datos del Anexo 8 aplicables por analogía, instrumento que le da origen e identificación de quienes la administran o controlan</w:t>
            </w:r>
          </w:p>
        </w:tc>
      </w:tr>
    </w:tbl>
    <w:p>
      <w:pPr>
        <w:spacing w:after="80"/>
      </w:pPr>
    </w:p>
    <w:p>
      <w:pPr>
        <w:pStyle w:val="ListParagraph"/>
        <w:numPr>
          <w:ilvl w:val="0"/>
          <w:numId w:val="1"/>
        </w:numPr>
        <w:spacing w:after="40"/>
      </w:pPr>
      <w:r>
        <w:rPr>
          <w:rFonts w:ascii="Calibri" w:cs="Calibri" w:eastAsia="Calibri" w:hAnsi="Calibri"/>
          <w:sz w:val="20"/>
          <w:szCs w:val="20"/>
        </w:rPr>
        <w:t xml:space="preserve">Cotejo: las copias se cotejan contra el original o contra copia certificada; en el expediente se asienta la fecha y quién realizó el cotejo. No se acepta la cédula profesional como identificación oficial.</w:t>
      </w:r>
    </w:p>
    <w:p>
      <w:pPr>
        <w:pStyle w:val="ListParagraph"/>
        <w:numPr>
          <w:ilvl w:val="0"/>
          <w:numId w:val="1"/>
        </w:numPr>
        <w:spacing w:after="40"/>
      </w:pPr>
      <w:r>
        <w:rPr>
          <w:rFonts w:ascii="Calibri" w:cs="Calibri" w:eastAsia="Calibri" w:hAnsi="Calibri"/>
          <w:sz w:val="20"/>
          <w:szCs w:val="20"/>
        </w:rPr>
        <w:t xml:space="preserve">Verificación: se verifica la vigencia de la identificación oficial y la congruencia de los datos (CURP, RFC, domicilio, fecha de nacimiento o constitución) con los documentos y con las fuentes oficiales disponibles. Cualquier inconsistencia se aclara antes del acto; si no se aclara, se aplican los criterios de abstención de este Manual.</w:t>
      </w:r>
    </w:p>
    <w:p>
      <w:pPr>
        <w:pStyle w:val="ListParagraph"/>
        <w:numPr>
          <w:ilvl w:val="0"/>
          <w:numId w:val="1"/>
        </w:numPr>
        <w:spacing w:after="40"/>
      </w:pPr>
      <w:r>
        <w:rPr>
          <w:rFonts w:ascii="Calibri" w:cs="Calibri" w:eastAsia="Calibri" w:hAnsi="Calibri"/>
          <w:sz w:val="20"/>
          <w:szCs w:val="20"/>
        </w:rPr>
        <w:t xml:space="preserve">Actualización: al menos una vez al año se verifica que los expedientes de los clientes con Relación de negocios estén completos y actualizados, con comprobante de domicilio no mayor a tres meses cuando el Anexo lo exija (Art. 21). Además, el expediente se actualiza cuando cambie significativamente el Perfil Transaccional (Art. 23 Ter, fr. IV), cuando se reclasifique el Grado de Riesgo y, para clientes de Riesgo alto, en cada reevaluación semestral (criterio del Programa).</w:t>
      </w:r>
    </w:p>
    <w:p>
      <w:pPr>
        <w:pStyle w:val="ListParagraph"/>
        <w:numPr>
          <w:ilvl w:val="0"/>
          <w:numId w:val="1"/>
        </w:numPr>
        <w:spacing w:after="40"/>
      </w:pPr>
      <w:r>
        <w:rPr>
          <w:rFonts w:ascii="Calibri" w:cs="Calibri" w:eastAsia="Calibri" w:hAnsi="Calibri"/>
          <w:sz w:val="20"/>
          <w:szCs w:val="20"/>
        </w:rPr>
        <w:t xml:space="preserve">Actuación por cuenta de otra persona: si hay indicios o hechos de que el cliente actúa por cuenta de un tercero no declarado, se le solicita la información para identificar al Beneficiario Controlador (Art. 22).</w:t>
      </w:r>
    </w:p>
    <w:p>
      <w:pPr>
        <w:pStyle w:val="ListParagraph"/>
        <w:numPr>
          <w:ilvl w:val="0"/>
          <w:numId w:val="1"/>
        </w:numPr>
        <w:spacing w:after="40"/>
      </w:pPr>
      <w:r>
        <w:rPr>
          <w:rFonts w:ascii="Calibri" w:cs="Calibri" w:eastAsia="Calibri" w:hAnsi="Calibri"/>
          <w:sz w:val="20"/>
          <w:szCs w:val="20"/>
        </w:rPr>
        <w:t xml:space="preserve">Formatos y lista de verificación del expediente: Documento D7-NOT.</w:t>
      </w:r>
    </w:p>
    <w:p>
      <w:pPr>
        <w:shd w:fill="1F3864" w:val="clear"/>
        <w:spacing w:after="100" w:before="220"/>
      </w:pPr>
      <w:r>
        <w:rPr>
          <w:rFonts w:ascii="Calibri" w:cs="Calibri" w:eastAsia="Calibri" w:hAnsi="Calibri"/>
          <w:b/>
          <w:bCs/>
          <w:color w:val="FFFFFF"/>
          <w:sz w:val="22"/>
          <w:szCs w:val="22"/>
        </w:rPr>
        <w:t xml:space="preserve">Capítulo 5: Enfoque Basado en Riesgo (EBR)</w:t>
      </w:r>
    </w:p>
    <w:p>
      <w:pPr>
        <w:spacing w:after="110"/>
      </w:pPr>
      <w:r>
        <w:rPr>
          <w:rFonts w:ascii="Calibri" w:cs="Calibri" w:eastAsia="Calibri" w:hAnsi="Calibri"/>
          <w:sz w:val="20"/>
          <w:szCs w:val="20"/>
        </w:rPr>
        <w:t xml:space="preserve">La Notaría clasifica a sus clientes en tres niveles de riesgo (BAJO, MEDIO, ALTO) utilizando la Metodología EBR del Documento D6-NOT. Factores evaluados: perfil del cliente, origen de fondos o del bien, tipo de acto notarial, monto, zona geográfica y vínculo con PEP's.</w:t>
      </w:r>
    </w:p>
    <w:p>
      <w:pPr>
        <w:spacing w:after="110"/>
      </w:pPr>
      <w:r>
        <w:rPr>
          <w:rFonts w:ascii="Calibri" w:cs="Calibri" w:eastAsia="Calibri" w:hAnsi="Calibri"/>
          <w:sz w:val="20"/>
          <w:szCs w:val="20"/>
        </w:rPr>
        <w:t xml:space="preserve">Medidas de debida diligencia por Grado de Riesgo. Riesgo bajo: medidas simplificadas (Art. 17 RCG), con los datos mínimos de los Anexos, conforme a los criterios de la sección 5.2. Riesgo medio: expediente de identificación completo conforme al Art. 12 RCG (Art. 17 Bis RCG). Riesgo alto: debida diligencia reforzada (Arts. 23 Ter 3 y 23 Ter 4 RCG): mayor información sobre el origen y destino de los recursos, cuestionario de identificación reforzada (Anexo B) y monitoreo más estricto; si el cliente es además PEP, el Notario Titular deja constancia firmada de los motivos considerados (Art. 23 Ter 5 RCG). El Grado de Riesgo se reevalúa cuando menos cada seis meses (Art. 23 Bis 1 RCG).</w:t>
      </w:r>
    </w:p>
    <w:p>
      <w:pPr>
        <w:keepNext/>
        <w:spacing w:after="60" w:before="120"/>
      </w:pPr>
      <w:r>
        <w:rPr>
          <w:rFonts w:ascii="Calibri" w:cs="Calibri" w:eastAsia="Calibri" w:hAnsi="Calibri"/>
          <w:b/>
          <w:bCs/>
          <w:color w:val="0A1628"/>
          <w:sz w:val="19"/>
          <w:szCs w:val="19"/>
        </w:rPr>
        <w:t xml:space="preserve">5.1 Evaluación de los Riesgos de la Notaría como sujeto obligado (Arts. 10 Septies a 10 Septies 3 RCG)</w:t>
      </w:r>
    </w:p>
    <w:p>
      <w:pPr>
        <w:spacing w:after="110"/>
      </w:pPr>
      <w:r>
        <w:rPr>
          <w:rFonts w:ascii="Calibri" w:cs="Calibri" w:eastAsia="Calibri" w:hAnsi="Calibri"/>
          <w:sz w:val="20"/>
          <w:szCs w:val="20"/>
        </w:rPr>
        <w:t xml:space="preserve">Además de clasificar a cada Cliente o Usuaria, la Notaría evalúa, al menos una vez al año, los Riesgos a los que se expone por los actos u operaciones que realiza, sus Clientes o Usuarias, las áreas geográficas y los canales de envío o distribución. El resultado es el nivel de Riesgo de la Notaría (bajo, medio o alto), que se utiliza para fijar su tolerancia al Riesgo y para determinar quién puede emitir el dictamen de auditoría (Arts. 44 y 45 RCG; Capítulo 12). Esta sección forma parte de la metodología de evaluación de Riesgos, junto con el Documento D6-NOT.</w:t>
      </w:r>
    </w:p>
    <w:p>
      <w:pPr>
        <w:pStyle w:val="ListParagraph"/>
        <w:numPr>
          <w:ilvl w:val="0"/>
          <w:numId w:val="1"/>
        </w:numPr>
        <w:spacing w:after="40"/>
      </w:pPr>
      <w:r>
        <w:rPr>
          <w:rFonts w:ascii="Calibri" w:cs="Calibri" w:eastAsia="Calibri" w:hAnsi="Calibri"/>
          <w:b/>
          <w:bCs/>
          <w:sz w:val="20"/>
          <w:szCs w:val="20"/>
        </w:rPr>
        <w:t xml:space="preserve">Datos.</w:t>
      </w:r>
      <w:r>
        <w:rPr>
          <w:rFonts w:ascii="Calibri" w:cs="Calibri" w:eastAsia="Calibri" w:hAnsi="Calibri"/>
          <w:sz w:val="20"/>
          <w:szCs w:val="20"/>
        </w:rPr>
        <w:t xml:space="preserve"> Total de Clientes o Usuarias, número de actos y monto operado de los últimos doce meses — o proyectados, si aún no hay historial, con actualización al cumplir doce meses —, desglosados por tipo de acto, tipo de cliente (persona física, moral o fideicomiso; nacional o extranjero; PEP), entidad federativa, forma de pago y canal. Los datos deben ser consistentes con los mecanismos automatizados (Art. 10 Septies 2 RCG).</w:t>
      </w:r>
    </w:p>
    <w:p>
      <w:pPr>
        <w:pStyle w:val="ListParagraph"/>
        <w:numPr>
          <w:ilvl w:val="0"/>
          <w:numId w:val="1"/>
        </w:numPr>
        <w:spacing w:after="40"/>
      </w:pPr>
      <w:r>
        <w:rPr>
          <w:rFonts w:ascii="Calibri" w:cs="Calibri" w:eastAsia="Calibri" w:hAnsi="Calibri"/>
          <w:b/>
          <w:bCs/>
          <w:sz w:val="20"/>
          <w:szCs w:val="20"/>
        </w:rPr>
        <w:t xml:space="preserve">Riesgo inherente.</w:t>
      </w:r>
      <w:r>
        <w:rPr>
          <w:rFonts w:ascii="Calibri" w:cs="Calibri" w:eastAsia="Calibri" w:hAnsi="Calibri"/>
          <w:sz w:val="20"/>
          <w:szCs w:val="20"/>
        </w:rPr>
        <w:t xml:space="preserve"> Cada uno de los cuatro elementos se califica de 1 (bajo) a 3 (alto) con los indicadores de la Metodología EBR aplicados a la cartera en su conjunto, considerando la Evaluación Nacional de Riesgos y sus actualizaciones, así como indicadores específicos de financiamiento al terrorismo y de lavado de dinero (Arts. 139 Quáter y 400 Bis del Código Penal Federal).</w:t>
      </w:r>
    </w:p>
    <w:p>
      <w:pPr>
        <w:pStyle w:val="ListParagraph"/>
        <w:numPr>
          <w:ilvl w:val="0"/>
          <w:numId w:val="1"/>
        </w:numPr>
        <w:spacing w:after="40"/>
      </w:pPr>
      <w:r>
        <w:rPr>
          <w:rFonts w:ascii="Calibri" w:cs="Calibri" w:eastAsia="Calibri" w:hAnsi="Calibri"/>
          <w:b/>
          <w:bCs/>
          <w:sz w:val="20"/>
          <w:szCs w:val="20"/>
        </w:rPr>
        <w:t xml:space="preserve">Mitigantes.</w:t>
      </w:r>
      <w:r>
        <w:rPr>
          <w:rFonts w:ascii="Calibri" w:cs="Calibri" w:eastAsia="Calibri" w:hAnsi="Calibri"/>
          <w:sz w:val="20"/>
          <w:szCs w:val="20"/>
        </w:rPr>
        <w:t xml:space="preserve"> Se califica la eficacia de los Mitigantes de cada elemento con base en la evidencia de su aplicación (supervisión interna y auditoría): efectivo (reduce un nivel), parcialmente efectivo (reduce medio nivel) o no efectivo (no reduce). El Riesgo residual de un elemento nunca es menor que 1.</w:t>
      </w:r>
    </w:p>
    <w:p>
      <w:pPr>
        <w:pStyle w:val="ListParagraph"/>
        <w:numPr>
          <w:ilvl w:val="0"/>
          <w:numId w:val="1"/>
        </w:numPr>
        <w:spacing w:after="40"/>
      </w:pPr>
      <w:r>
        <w:rPr>
          <w:rFonts w:ascii="Calibri" w:cs="Calibri" w:eastAsia="Calibri" w:hAnsi="Calibri"/>
          <w:b/>
          <w:bCs/>
          <w:sz w:val="20"/>
          <w:szCs w:val="20"/>
        </w:rPr>
        <w:t xml:space="preserve">Nivel de Riesgo de la Notaría.</w:t>
      </w:r>
      <w:r>
        <w:rPr>
          <w:rFonts w:ascii="Calibri" w:cs="Calibri" w:eastAsia="Calibri" w:hAnsi="Calibri"/>
          <w:sz w:val="20"/>
          <w:szCs w:val="20"/>
        </w:rPr>
        <w:t xml:space="preserve"> Promedio de los Riesgos residuales con igual ponderación para los cuatro elementos: de 1.00 a 1.66, bajo; de 1.67 a 2.33, medio; más de 2.33, alto (criterio del Programa).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000"/>
        <w:gridCol w:w="1700"/>
        <w:gridCol w:w="1800"/>
        <w:gridCol w:w="1700"/>
      </w:tblGrid>
      <w:tr>
        <w:trPr>
          <w:tblHeader/>
        </w:trPr>
        <w:tc>
          <w:tcPr>
            <w:tcW w:type="dxa" w:w="3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Elemento de Riesgo</w:t>
            </w:r>
          </w:p>
        </w:tc>
        <w:tc>
          <w:tcPr>
            <w:tcW w:type="dxa" w:w="10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Peso</w:t>
            </w:r>
          </w:p>
        </w:tc>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Riesgo inherente (1–3)</w:t>
            </w:r>
          </w:p>
        </w:tc>
        <w:tc>
          <w:tcPr>
            <w:tcW w:type="dxa" w:w="18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Eficacia de Mitigantes</w:t>
            </w:r>
          </w:p>
        </w:tc>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Riesgo residual (1–3)</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A. Actos u operaciones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B. Tipo de Clientes o Usuarias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C. Países y áreas geográficas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D. Transacciones y canales de envío o distribución</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r>
              <w:rPr>
                <w:rFonts w:ascii="Calibri" w:cs="Calibri" w:eastAsia="Calibri" w:hAnsi="Calibri"/>
                <w:b/>
                <w:bCs/>
                <w:sz w:val="18"/>
                <w:szCs w:val="18"/>
              </w:rPr>
              <w:t xml:space="preserve">Nivel de Riesgo de la Notaría</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 Bajo  [ ] Medio  [ ] Alto</w:t>
            </w:r>
          </w:p>
        </w:tc>
      </w:tr>
    </w:tbl>
    <w:p>
      <w:pPr>
        <w:spacing w:after="80"/>
      </w:pPr>
    </w:p>
    <w:p>
      <w:pPr>
        <w:spacing w:after="110"/>
      </w:pPr>
      <w:r>
        <w:rPr>
          <w:rFonts w:ascii="Calibri" w:cs="Calibri" w:eastAsia="Calibri" w:hAnsi="Calibri"/>
          <w:sz w:val="20"/>
          <w:szCs w:val="20"/>
        </w:rPr>
        <w:t xml:space="preserve">La evaluación consta por escrito, la firma el Notario Titular, se conserva por diez años y está a disposición de la autoridad a partir del 1 de marzo de 2027, con la información del año inmediato anterior (Transitorio Segundo). Se actualiza cada doce meses, cuando se detecten Riesgos nuevos o mayores o cuando se actualice la Evaluación Nacional de Riesgos (Art. 10 Septies 3); si revela Riesgos mayores o nuevos, los Mitigantes se modifican en un plazo no mayor a doce meses, indicando el año y mes de los resultados que motivaron el cambio (Art. 10 Septies 2).</w:t>
      </w:r>
    </w:p>
    <w:p>
      <w:pPr>
        <w:keepNext/>
        <w:spacing w:after="60" w:before="120"/>
      </w:pPr>
      <w:r>
        <w:rPr>
          <w:rFonts w:ascii="Calibri" w:cs="Calibri" w:eastAsia="Calibri" w:hAnsi="Calibri"/>
          <w:b/>
          <w:bCs/>
          <w:color w:val="0A1628"/>
          <w:sz w:val="19"/>
          <w:szCs w:val="19"/>
        </w:rPr>
        <w:t xml:space="preserve">5.2 Criterios para clasificar a un Cliente o Usuaria como de Riesgo bajo (Art. 17 RCG)</w:t>
      </w:r>
    </w:p>
    <w:p>
      <w:pPr>
        <w:spacing w:after="110"/>
      </w:pPr>
      <w:r>
        <w:rPr>
          <w:rFonts w:ascii="Calibri" w:cs="Calibri" w:eastAsia="Calibri" w:hAnsi="Calibri"/>
          <w:sz w:val="20"/>
          <w:szCs w:val="20"/>
        </w:rPr>
        <w:t xml:space="preserve">La Notaría aplica medidas simplificadas únicamente al Cliente o Usuaria que cumpla todos los criterios siguientes:</w:t>
      </w:r>
    </w:p>
    <w:p>
      <w:pPr>
        <w:pStyle w:val="ListParagraph"/>
        <w:numPr>
          <w:ilvl w:val="0"/>
          <w:numId w:val="1"/>
        </w:numPr>
        <w:spacing w:after="40"/>
      </w:pPr>
      <w:r>
        <w:rPr>
          <w:rFonts w:ascii="Calibri" w:cs="Calibri" w:eastAsia="Calibri" w:hAnsi="Calibri"/>
          <w:sz w:val="20"/>
          <w:szCs w:val="20"/>
        </w:rPr>
        <w:t xml:space="preserve">Es persona física de nacionalidad mexicana o residente en México, o persona moral mexicana con estructura accionaria simple (sin más de un nivel de personas morales entre ella y su Beneficiario Controlador), con Beneficiario Controlador identificado.</w:t>
      </w:r>
    </w:p>
    <w:p>
      <w:pPr>
        <w:pStyle w:val="ListParagraph"/>
        <w:numPr>
          <w:ilvl w:val="0"/>
          <w:numId w:val="1"/>
        </w:numPr>
        <w:spacing w:after="40"/>
      </w:pPr>
      <w:r>
        <w:rPr>
          <w:rFonts w:ascii="Calibri" w:cs="Calibri" w:eastAsia="Calibri" w:hAnsi="Calibri"/>
          <w:sz w:val="20"/>
          <w:szCs w:val="20"/>
        </w:rPr>
        <w:t xml:space="preserve">No es Persona Políticamente Expuesta ni se asimila a ella, y no aparece en las listas a que se refiere el Capítulo 15.</w:t>
      </w:r>
    </w:p>
    <w:p>
      <w:pPr>
        <w:pStyle w:val="ListParagraph"/>
        <w:numPr>
          <w:ilvl w:val="0"/>
          <w:numId w:val="1"/>
        </w:numPr>
        <w:spacing w:after="40"/>
      </w:pPr>
      <w:r>
        <w:rPr>
          <w:rFonts w:ascii="Calibri" w:cs="Calibri" w:eastAsia="Calibri" w:hAnsi="Calibri"/>
          <w:sz w:val="20"/>
          <w:szCs w:val="20"/>
        </w:rPr>
        <w:t xml:space="preserve">Los recursos provienen de cuentas en Entidades Financieras a nombre del propio Cliente o Usuaria, o de un crédito otorgado por una Entidad Financiera, y no se pretende pagar en efectivo.</w:t>
      </w:r>
    </w:p>
    <w:p>
      <w:pPr>
        <w:pStyle w:val="ListParagraph"/>
        <w:numPr>
          <w:ilvl w:val="0"/>
          <w:numId w:val="1"/>
        </w:numPr>
        <w:spacing w:after="40"/>
      </w:pPr>
      <w:r>
        <w:rPr>
          <w:rFonts w:ascii="Calibri" w:cs="Calibri" w:eastAsia="Calibri" w:hAnsi="Calibri"/>
          <w:sz w:val="20"/>
          <w:szCs w:val="20"/>
        </w:rPr>
        <w:t xml:space="preserve">Cuando el acto u operación tenga umbral de Aviso, su monto es inferior a dicho umbral; y no existe ninguna señal de alerta.</w:t>
      </w:r>
    </w:p>
    <w:p>
      <w:pPr>
        <w:pStyle w:val="ListParagraph"/>
        <w:numPr>
          <w:ilvl w:val="0"/>
          <w:numId w:val="1"/>
        </w:numPr>
        <w:spacing w:after="40"/>
      </w:pPr>
      <w:r>
        <w:rPr>
          <w:rFonts w:ascii="Calibri" w:cs="Calibri" w:eastAsia="Calibri" w:hAnsi="Calibri"/>
          <w:sz w:val="20"/>
          <w:szCs w:val="20"/>
        </w:rPr>
        <w:t xml:space="preserve">Ni el domicilio ni el origen o destino de los recursos se vinculan con países o jurisdicciones de Riesgo.</w:t>
      </w:r>
    </w:p>
    <w:p>
      <w:pPr>
        <w:pStyle w:val="ListParagraph"/>
        <w:numPr>
          <w:ilvl w:val="0"/>
          <w:numId w:val="1"/>
        </w:numPr>
        <w:spacing w:after="40"/>
      </w:pPr>
      <w:r>
        <w:rPr>
          <w:rFonts w:ascii="Calibri" w:cs="Calibri" w:eastAsia="Calibri" w:hAnsi="Calibri"/>
          <w:sz w:val="20"/>
          <w:szCs w:val="20"/>
        </w:rPr>
        <w:t xml:space="preserve">Obtiene una puntuación de 6 a 9 puntos en la Metodología EBR (Documento D6-NOT).</w:t>
      </w:r>
    </w:p>
    <w:p>
      <w:pPr>
        <w:spacing w:after="110"/>
      </w:pPr>
      <w:r>
        <w:rPr>
          <w:rFonts w:ascii="Calibri" w:cs="Calibri" w:eastAsia="Calibri" w:hAnsi="Calibri"/>
          <w:sz w:val="20"/>
          <w:szCs w:val="20"/>
        </w:rPr>
        <w:t xml:space="preserve">Si el Cliente o Usuaria deja de cumplir cualquiera de estos criterios, se integra su expediente completo (Art. 17, último párrafo, y Art. 17 Bis RCG) y se reclasifica. Las medidas simplificadas no eximen de identificar al Cliente o Usuaria ni de consultar las listas y la calidad de PEP.</w:t>
      </w:r>
    </w:p>
    <w:p>
      <w:pPr>
        <w:keepNext/>
        <w:spacing w:after="60" w:before="120"/>
      </w:pPr>
      <w:r>
        <w:rPr>
          <w:rFonts w:ascii="Calibri" w:cs="Calibri" w:eastAsia="Calibri" w:hAnsi="Calibri"/>
          <w:b/>
          <w:bCs/>
          <w:color w:val="0A1628"/>
          <w:sz w:val="19"/>
          <w:szCs w:val="19"/>
        </w:rPr>
        <w:t xml:space="preserve">5.3 Medidas reforzadas para Clientes o Usuarias de Riesgo alto (Arts. 23 Ter 3, 23 Ter 4 y 23 Ter 5 RCG)</w:t>
      </w:r>
    </w:p>
    <w:p>
      <w:pPr>
        <w:pStyle w:val="ListParagraph"/>
        <w:numPr>
          <w:ilvl w:val="0"/>
          <w:numId w:val="1"/>
        </w:numPr>
        <w:spacing w:after="40"/>
      </w:pPr>
      <w:r>
        <w:rPr>
          <w:rFonts w:ascii="Calibri" w:cs="Calibri" w:eastAsia="Calibri" w:hAnsi="Calibri"/>
          <w:sz w:val="20"/>
          <w:szCs w:val="20"/>
        </w:rPr>
        <w:t xml:space="preserve">Se aplica el Cuestionario de Identificación Reforzada del Anexo B de este Manual al alta y en cada reevaluación, para obtener mayor información sobre la actividad preponderante del cliente y el origen y destino de los recursos. Puede aplicarse a distancia por medios digitales, siempre con la Firma Electrónica de quien lo suscribe (Art. 23 Ter 3).</w:t>
      </w:r>
    </w:p>
    <w:p>
      <w:pPr>
        <w:pStyle w:val="ListParagraph"/>
        <w:numPr>
          <w:ilvl w:val="0"/>
          <w:numId w:val="1"/>
        </w:numPr>
        <w:spacing w:after="40"/>
      </w:pPr>
      <w:r>
        <w:rPr>
          <w:rFonts w:ascii="Calibri" w:cs="Calibri" w:eastAsia="Calibri" w:hAnsi="Calibri"/>
          <w:sz w:val="20"/>
          <w:szCs w:val="20"/>
        </w:rPr>
        <w:t xml:space="preserve">Personas físicas: se adoptan medidas reforzadas sobre el origen y destino de los recursos y se recaban, del cónyuge y de los dependientes económicos, nombre completo, fecha de nacimiento, nacionalidad y CURP o RFC, así como la denominación, RFC y porcentaje de participación de las sociedades y asociaciones con las que el cliente mantenga vínculos patrimoniales (Art. 23 Ter 4, fr. I).</w:t>
      </w:r>
    </w:p>
    <w:p>
      <w:pPr>
        <w:pStyle w:val="ListParagraph"/>
        <w:numPr>
          <w:ilvl w:val="0"/>
          <w:numId w:val="1"/>
        </w:numPr>
        <w:spacing w:after="40"/>
      </w:pPr>
      <w:r>
        <w:rPr>
          <w:rFonts w:ascii="Calibri" w:cs="Calibri" w:eastAsia="Calibri" w:hAnsi="Calibri"/>
          <w:sz w:val="20"/>
          <w:szCs w:val="20"/>
        </w:rPr>
        <w:t xml:space="preserve">Personas morales: se obtiene mayor información de sus principales accionistas o socios y se confirma en los registros electrónicos de la Secretaría de Economía (Art. 23 Ter 4, fr. II).</w:t>
      </w:r>
    </w:p>
    <w:p>
      <w:pPr>
        <w:pStyle w:val="ListParagraph"/>
        <w:numPr>
          <w:ilvl w:val="0"/>
          <w:numId w:val="1"/>
        </w:numPr>
        <w:spacing w:after="40"/>
      </w:pPr>
      <w:r>
        <w:rPr>
          <w:rFonts w:ascii="Calibri" w:cs="Calibri" w:eastAsia="Calibri" w:hAnsi="Calibri"/>
          <w:sz w:val="20"/>
          <w:szCs w:val="20"/>
        </w:rPr>
        <w:t xml:space="preserve">Personas Políticamente Expuestas extranjeras: además, se recaba la documentación del Capítulo III de las RCG respecto del cónyuge y los dependientes económicos (Art. 23 Ter 4, fr. III).</w:t>
      </w:r>
    </w:p>
    <w:p>
      <w:pPr>
        <w:pStyle w:val="ListParagraph"/>
        <w:numPr>
          <w:ilvl w:val="0"/>
          <w:numId w:val="1"/>
        </w:numPr>
        <w:spacing w:after="40"/>
      </w:pPr>
      <w:r>
        <w:rPr>
          <w:rFonts w:ascii="Calibri" w:cs="Calibri" w:eastAsia="Calibri" w:hAnsi="Calibri"/>
          <w:sz w:val="20"/>
          <w:szCs w:val="20"/>
        </w:rPr>
        <w:t xml:space="preserve">Cuando el cliente sea PEP y además de Riesgo alto, el acto u operación requiere la constancia firmada por el Notario Titular en la que señale los motivos que consideró para formalizar el acto (Art. 23 Ter 5, segundo párrafo, RCG), que considera el cuestionario reforzado, el origen de los recursos y el monitoreo propuesto.</w:t>
      </w:r>
    </w:p>
    <w:p>
      <w:pPr>
        <w:pStyle w:val="ListParagraph"/>
        <w:numPr>
          <w:ilvl w:val="0"/>
          <w:numId w:val="1"/>
        </w:numPr>
        <w:spacing w:after="40"/>
      </w:pPr>
      <w:r>
        <w:rPr>
          <w:rFonts w:ascii="Calibri" w:cs="Calibri" w:eastAsia="Calibri" w:hAnsi="Calibri"/>
          <w:sz w:val="20"/>
          <w:szCs w:val="20"/>
        </w:rPr>
        <w:t xml:space="preserve">Detección posterior: si la calidad de PEP o el Riesgo alto se identifica después de iniciada la relación, su continuidad requiere la misma aprobación o constancia del Art. 23 Ter 5 —que aplica "previamente o con posterioridad" al acto—. Mientras no se obtenga, no se celebran nuevos actos u operaciones con ese cliente.</w:t>
      </w:r>
    </w:p>
    <w:p>
      <w:pPr>
        <w:pStyle w:val="ListParagraph"/>
        <w:numPr>
          <w:ilvl w:val="0"/>
          <w:numId w:val="1"/>
        </w:numPr>
        <w:spacing w:after="40"/>
      </w:pPr>
      <w:r>
        <w:rPr>
          <w:rFonts w:ascii="Calibri" w:cs="Calibri" w:eastAsia="Calibri" w:hAnsi="Calibri"/>
          <w:sz w:val="20"/>
          <w:szCs w:val="20"/>
        </w:rPr>
        <w:t xml:space="preserve">El comportamiento transaccional del cliente se revisa con mayor rigor: cada pago o aportación se compara con su Perfil Transaccional y toda desviación se analiza conforme a los parámetros de alertas de este Manual.</w:t>
      </w:r>
    </w:p>
    <w:p>
      <w:pPr>
        <w:keepNext/>
        <w:spacing w:after="60" w:before="120"/>
      </w:pPr>
      <w:r>
        <w:rPr>
          <w:rFonts w:ascii="Calibri" w:cs="Calibri" w:eastAsia="Calibri" w:hAnsi="Calibri"/>
          <w:b/>
          <w:bCs/>
          <w:color w:val="0A1628"/>
          <w:sz w:val="19"/>
          <w:szCs w:val="19"/>
        </w:rPr>
        <w:t xml:space="preserve">5.4 Países, territorios y jurisdicciones de alto Riesgo (Arts. 23 Bis 4 y 41, fr. V, RCG)</w:t>
      </w:r>
    </w:p>
    <w:p>
      <w:pPr>
        <w:pStyle w:val="ListParagraph"/>
        <w:numPr>
          <w:ilvl w:val="0"/>
          <w:numId w:val="1"/>
        </w:numPr>
        <w:spacing w:after="40"/>
      </w:pPr>
      <w:r>
        <w:rPr>
          <w:rFonts w:ascii="Calibri" w:cs="Calibri" w:eastAsia="Calibri" w:hAnsi="Calibri"/>
          <w:sz w:val="20"/>
          <w:szCs w:val="20"/>
        </w:rPr>
        <w:t xml:space="preserve">Fuentes: (i) la lista de países y jurisdicciones que la UIF pone a disposición en el Portal en Internet (Art. 23 Bis 4, último párrafo); (ii) los países y territorios que la legislación fiscal mexicana considera de régimen fiscal preferente; y (iii) las jurisdicciones que el GAFI/FATF y el GAFILAT señalan como de alto Riesgo o sujetas a monitoreo intensificado. Las listas se revisan cada vez que se actualizan; el GAFI lo hace tras sus plenarias, normalmente tres veces al año.</w:t>
      </w:r>
    </w:p>
    <w:p>
      <w:pPr>
        <w:pStyle w:val="ListParagraph"/>
        <w:numPr>
          <w:ilvl w:val="0"/>
          <w:numId w:val="1"/>
        </w:numPr>
        <w:spacing w:after="40"/>
      </w:pPr>
      <w:r>
        <w:rPr>
          <w:rFonts w:ascii="Calibri" w:cs="Calibri" w:eastAsia="Calibri" w:hAnsi="Calibri"/>
          <w:sz w:val="20"/>
          <w:szCs w:val="20"/>
        </w:rPr>
        <w:t xml:space="preserve">Detección: se revisan la nacionalidad, la residencia y el domicilio del cliente y de su Beneficiario Controlador, el origen y destino de los recursos, las cuentas de origen y las contrapartes.</w:t>
      </w:r>
    </w:p>
    <w:p>
      <w:pPr>
        <w:pStyle w:val="ListParagraph"/>
        <w:numPr>
          <w:ilvl w:val="0"/>
          <w:numId w:val="1"/>
        </w:numPr>
        <w:spacing w:after="40"/>
      </w:pPr>
      <w:r>
        <w:rPr>
          <w:rFonts w:ascii="Calibri" w:cs="Calibri" w:eastAsia="Calibri" w:hAnsi="Calibri"/>
          <w:sz w:val="20"/>
          <w:szCs w:val="20"/>
        </w:rPr>
        <w:t xml:space="preserve">Cliente no residente vinculado con esas jurisdicciones: se clasifica siempre como de Riesgo alto y se recaban y asientan las razones por las que celebra el acto u operación en México (Art. 23 Bis 4).</w:t>
      </w:r>
    </w:p>
    <w:p>
      <w:pPr>
        <w:pStyle w:val="ListParagraph"/>
        <w:numPr>
          <w:ilvl w:val="0"/>
          <w:numId w:val="1"/>
        </w:numPr>
        <w:spacing w:after="40"/>
      </w:pPr>
      <w:r>
        <w:rPr>
          <w:rFonts w:ascii="Calibri" w:cs="Calibri" w:eastAsia="Calibri" w:hAnsi="Calibri"/>
          <w:sz w:val="20"/>
          <w:szCs w:val="20"/>
        </w:rPr>
        <w:t xml:space="preserve">Cliente residente con vínculo con esas jurisdicciones (recursos, cuentas, contrapartes o Beneficiario Controlador): el indicador geográfico de la Metodología EBR se califica en nivel alto y se aplican las medidas reforzadas de este Manual.</w:t>
      </w:r>
    </w:p>
    <w:p>
      <w:pPr>
        <w:pStyle w:val="ListParagraph"/>
        <w:numPr>
          <w:ilvl w:val="0"/>
          <w:numId w:val="1"/>
        </w:numPr>
        <w:spacing w:after="40"/>
      </w:pPr>
      <w:r>
        <w:rPr>
          <w:rFonts w:ascii="Calibri" w:cs="Calibri" w:eastAsia="Calibri" w:hAnsi="Calibri"/>
          <w:sz w:val="20"/>
          <w:szCs w:val="20"/>
        </w:rPr>
        <w:t xml:space="preserve">El sistema de alertas genera una alerta automática para todo acto u operación vinculado con esas jurisdicciones (Art. 41, fr. V), que se analiza conforme al procedimiento de análisis de alertas de este Manual. Si no puede documentarse una razón económica legítima, se aplican los criterios de abstención y, en su caso, se presenta el Aviso de 24 horas.</w:t>
      </w:r>
    </w:p>
    <w:p>
      <w:pPr>
        <w:shd w:fill="1F3864" w:val="clear"/>
        <w:spacing w:after="100" w:before="220"/>
      </w:pPr>
      <w:r>
        <w:rPr>
          <w:rFonts w:ascii="Calibri" w:cs="Calibri" w:eastAsia="Calibri" w:hAnsi="Calibri"/>
          <w:b/>
          <w:bCs/>
          <w:color w:val="FFFFFF"/>
          <w:sz w:val="22"/>
          <w:szCs w:val="22"/>
        </w:rPr>
        <w:t xml:space="preserve">Capítulo 6: Personas Expuestas Políticamente (PEP's) y Beneficiario Controlador</w:t>
      </w:r>
    </w:p>
    <w:p>
      <w:pPr>
        <w:spacing w:after="110"/>
      </w:pPr>
      <w:r>
        <w:rPr>
          <w:rFonts w:ascii="Calibri" w:cs="Calibri" w:eastAsia="Calibri" w:hAnsi="Calibri"/>
          <w:sz w:val="20"/>
          <w:szCs w:val="20"/>
        </w:rPr>
        <w:t xml:space="preserve">Se considera PEP a la persona física que desempeña o ha desempeñado funciones públicas prominentes en territorio nacional o en el extranjero, así como a su cónyuge, concubina o concubinario, parientes por consanguinidad o afinidad hasta el segundo grado, y a los socios o asociados con quienes mantenga vínculos patrimoniales (Art. 23 Quáter RCG). La calidad de PEP se conserva durante el año siguiente a aquel en que la persona dejó el cargo. Ver Política de PEP's, Documento D8-NOT.</w:t>
      </w:r>
    </w:p>
    <w:p>
      <w:pPr>
        <w:spacing w:after="110"/>
      </w:pPr>
      <w:r>
        <w:rPr>
          <w:rFonts w:ascii="Calibri" w:cs="Calibri" w:eastAsia="Calibri" w:hAnsi="Calibri"/>
          <w:sz w:val="20"/>
          <w:szCs w:val="20"/>
        </w:rPr>
        <w:t xml:space="preserve">Beneficiario Controlador (Art. 18, fr. III, de la Ley): cuando el cliente sea persona moral, fideicomiso u otra figura jurídica, el Notario recaba los documentos que permitan identificar a su Beneficiario Controlador; cuando sea persona física, recaba la declaración acerca de si tiene o no conocimiento de la existencia de un Beneficiario Controlador y, en su caso, la documentación que permita identificarlo — ver Sección E del Documento D7-NOT.</w:t>
      </w:r>
    </w:p>
    <w:p>
      <w:pPr>
        <w:spacing w:after="110"/>
      </w:pPr>
      <w:r>
        <w:rPr>
          <w:rFonts w:ascii="Calibri" w:cs="Calibri" w:eastAsia="Calibri" w:hAnsi="Calibri"/>
          <w:sz w:val="20"/>
          <w:szCs w:val="20"/>
        </w:rPr>
        <w:t xml:space="preserve">Orden de prelación para identificar al Beneficiario Controlador (Art. 23 Quinquies RCG): (i) la persona o personas físicas que tengan el 25% o más del capital social; (ii) si no existe, quien controle a la persona moral por otros medios; (iii) en último término, el funcionario administrativo de mayor grado. En fideicomisos se aplica el Art. 23 Quinquies 1. No se exige la identificación del Beneficiario Controlador en los supuestos de exención del Art. 23 Quinquies 2 RCG (entre otros, quienes cotizan en bolsa y las personas morales de los Anexos 4 Bis, 6 Bis, 7-A y 7 Bis-A). La evidencia del procedimiento se integra en la Sección E del D7-NOT.</w:t>
      </w:r>
    </w:p>
    <w:p>
      <w:pPr>
        <w:keepNext/>
        <w:spacing w:after="60" w:before="120"/>
      </w:pPr>
      <w:r>
        <w:rPr>
          <w:rFonts w:ascii="Calibri" w:cs="Calibri" w:eastAsia="Calibri" w:hAnsi="Calibri"/>
          <w:b/>
          <w:bCs/>
          <w:color w:val="0A1628"/>
          <w:sz w:val="19"/>
          <w:szCs w:val="19"/>
        </w:rPr>
        <w:t xml:space="preserve">6.1 Fuentes, validación de coincidencias y monitoreo de PEP (Art. 37 Bis, fr. IV, RCG)</w:t>
      </w:r>
    </w:p>
    <w:p>
      <w:pPr>
        <w:pStyle w:val="ListParagraph"/>
        <w:numPr>
          <w:ilvl w:val="0"/>
          <w:numId w:val="1"/>
        </w:numPr>
        <w:spacing w:after="40"/>
      </w:pPr>
      <w:r>
        <w:rPr>
          <w:rFonts w:ascii="Calibri" w:cs="Calibri" w:eastAsia="Calibri" w:hAnsi="Calibri"/>
          <w:sz w:val="20"/>
          <w:szCs w:val="20"/>
        </w:rPr>
        <w:t xml:space="preserve">La consulta de PEP nacionales se realiza en la aplicación Consulta PEP 2.0 de la UIF, con la e.firma del alta y registro, en cuanto esté habilitada para quienes realizan Actividades Vulnerables (nueve meses después de la entrada en vigor del Acuerdo 115/2026, Transitorio Décimo). Mientras tanto, se recaba la declaración del cliente sobre su calidad de PEP y se consultan fuentes públicas oficiales.</w:t>
      </w:r>
    </w:p>
    <w:p>
      <w:pPr>
        <w:pStyle w:val="ListParagraph"/>
        <w:numPr>
          <w:ilvl w:val="0"/>
          <w:numId w:val="1"/>
        </w:numPr>
        <w:spacing w:after="40"/>
      </w:pPr>
      <w:r>
        <w:rPr>
          <w:rFonts w:ascii="Calibri" w:cs="Calibri" w:eastAsia="Calibri" w:hAnsi="Calibri"/>
          <w:sz w:val="20"/>
          <w:szCs w:val="20"/>
        </w:rPr>
        <w:t xml:space="preserve">Las PEP extranjeras se identifican mediante la declaración del cliente y fuentes públicas o listas de organismos internacionales reconocidos; se clasifican siempre como Riesgo alto (Art. 23 Bis 4 RCG).</w:t>
      </w:r>
    </w:p>
    <w:p>
      <w:pPr>
        <w:pStyle w:val="ListParagraph"/>
        <w:numPr>
          <w:ilvl w:val="0"/>
          <w:numId w:val="1"/>
        </w:numPr>
        <w:spacing w:after="40"/>
      </w:pPr>
      <w:r>
        <w:rPr>
          <w:rFonts w:ascii="Calibri" w:cs="Calibri" w:eastAsia="Calibri" w:hAnsi="Calibri"/>
          <w:sz w:val="20"/>
          <w:szCs w:val="20"/>
        </w:rPr>
        <w:t xml:space="preserve">Las coincidencias se validan con la fecha de nacimiento, la CURP o el RFC y el cargo, con el mismo tratamiento de falsos positivos del Capítulo 15; el resultado se documenta en el expediente.</w:t>
      </w:r>
    </w:p>
    <w:p>
      <w:pPr>
        <w:pStyle w:val="ListParagraph"/>
        <w:numPr>
          <w:ilvl w:val="0"/>
          <w:numId w:val="1"/>
        </w:numPr>
        <w:spacing w:after="40"/>
      </w:pPr>
      <w:r>
        <w:rPr>
          <w:rFonts w:ascii="Calibri" w:cs="Calibri" w:eastAsia="Calibri" w:hAnsi="Calibri"/>
          <w:sz w:val="20"/>
          <w:szCs w:val="20"/>
        </w:rPr>
        <w:t xml:space="preserve">Monitoreo: la calidad de PEP se verifica antes de cada acto u operación y en cada reevaluación semestral; la PEP nacional conserva esa calidad durante el año siguiente a aquel en que dejó el cargo (Art. 23 Quáter RCG).</w:t>
      </w:r>
    </w:p>
    <w:p>
      <w:pPr>
        <w:shd w:fill="1F3864" w:val="clear"/>
        <w:spacing w:after="100" w:before="220"/>
      </w:pPr>
      <w:r>
        <w:rPr>
          <w:rFonts w:ascii="Calibri" w:cs="Calibri" w:eastAsia="Calibri" w:hAnsi="Calibri"/>
          <w:b/>
          <w:bCs/>
          <w:color w:val="FFFFFF"/>
          <w:sz w:val="22"/>
          <w:szCs w:val="22"/>
        </w:rPr>
        <w:t xml:space="preserve">Capítulo 7: Operaciones Inusuales</w:t>
      </w:r>
    </w:p>
    <w:p>
      <w:pPr>
        <w:spacing w:after="110"/>
      </w:pPr>
      <w:r>
        <w:rPr>
          <w:rFonts w:ascii="Calibri" w:cs="Calibri" w:eastAsia="Calibri" w:hAnsi="Calibri"/>
          <w:sz w:val="20"/>
          <w:szCs w:val="20"/>
        </w:rPr>
        <w:t xml:space="preserve">El catálogo de señales de alerta específicas por inciso, así como el procedimiento de reporte interno y presentación del Aviso dentro de las 24 horas siguientes a la detección, se encuentra en el Documento D9-NOT.</w:t>
      </w:r>
    </w:p>
    <w:p>
      <w:pPr>
        <w:shd w:fill="1F3864" w:val="clear"/>
        <w:spacing w:after="100" w:before="220"/>
      </w:pPr>
      <w:r>
        <w:rPr>
          <w:rFonts w:ascii="Calibri" w:cs="Calibri" w:eastAsia="Calibri" w:hAnsi="Calibri"/>
          <w:b/>
          <w:bCs/>
          <w:color w:val="FFFFFF"/>
          <w:sz w:val="22"/>
          <w:szCs w:val="22"/>
        </w:rPr>
        <w:t xml:space="preserve">Capítulo 8: Restricción de Pagos en Efectivo</w:t>
      </w:r>
    </w:p>
    <w:p>
      <w:pPr>
        <w:spacing w:after="110"/>
      </w:pPr>
      <w:r>
        <w:rPr>
          <w:rFonts w:ascii="Calibri" w:cs="Calibri" w:eastAsia="Calibri" w:hAnsi="Calibri"/>
          <w:sz w:val="20"/>
          <w:szCs w:val="20"/>
        </w:rPr>
        <w:t xml:space="preserve">Conforme al artículo 32, fracción I de la LFPIORPI, está PROHIBIDO aceptar pagos en efectivo para la constitución o transmisión de derechos reales sobre inmuebles por un valor igual o superior a 8,025 veces el valor diario de la UMA (~$941,413 MXN 2026) — umbral distinto y ligeramente superior al umbral de aviso del inciso a) de la Fracción XII (8,000 UMA), por tratarse de una obligación de un artículo diferente.</w:t>
      </w:r>
    </w:p>
    <w:p>
      <w:pPr>
        <w:spacing w:after="110"/>
      </w:pPr>
      <w:r>
        <w:rPr>
          <w:rFonts w:ascii="Calibri" w:cs="Calibri" w:eastAsia="Calibri" w:hAnsi="Calibri"/>
          <w:sz w:val="20"/>
          <w:szCs w:val="20"/>
        </w:rPr>
        <w:t xml:space="preserve">Adicionalmente, conforme al artículo 33, primer párrafo, la persona depositaria de fe pública debe identificar la forma en que se paguen las obligaciones derivadas de los instrumentos en que haga constar actos del artículo 32, cuando la operación tenga un valor igual o superior a 8,025 UMA; si el valor es inferior y el acto fue pagado total o parcialmente antes de la firma, basta la declaración bajo protesta de decir verdad de las personas Clientes o Usuarias (segundo párrafo). El deber de especificar la forma de pago y anexar el comprobante respectivo corresponde a los demás actos de las fracciones II a VII del artículo 32 (tercer párrafo), no a los de la fracción I.</w:t>
      </w:r>
    </w:p>
    <w:p>
      <w:pPr>
        <w:shd w:fill="1F3864" w:val="clear"/>
        <w:spacing w:after="100" w:before="220"/>
      </w:pPr>
      <w:r>
        <w:rPr>
          <w:rFonts w:ascii="Calibri" w:cs="Calibri" w:eastAsia="Calibri" w:hAnsi="Calibri"/>
          <w:b/>
          <w:bCs/>
          <w:color w:val="FFFFFF"/>
          <w:sz w:val="22"/>
          <w:szCs w:val="22"/>
        </w:rPr>
        <w:t xml:space="preserve">Capítulo 9: Presentación de Avisos ante el SAT</w:t>
      </w:r>
    </w:p>
    <w:p>
      <w:pPr>
        <w:spacing w:after="110"/>
      </w:pPr>
      <w:r>
        <w:rPr>
          <w:rFonts w:ascii="Calibri" w:cs="Calibri" w:eastAsia="Calibri" w:hAnsi="Calibri"/>
          <w:sz w:val="20"/>
          <w:szCs w:val="20"/>
        </w:rPr>
        <w:t xml:space="preserve">Los avisos se presentan a más tardar el día 17 del mes inmediato siguiente a aquel en que se realizó el acto, conforme al artículo 23. El control mensual de actos y avisos, así como el procedimiento de informe en ceros, se documenta en el Documento D12-NOT. El registro inicial ante el portal SPPLD se documenta en el Documento D3-NOT.</w:t>
      </w:r>
    </w:p>
    <w:p>
      <w:pPr>
        <w:keepNext/>
        <w:spacing w:after="60" w:before="120"/>
      </w:pPr>
      <w:r>
        <w:rPr>
          <w:rFonts w:ascii="Calibri" w:cs="Calibri" w:eastAsia="Calibri" w:hAnsi="Calibri"/>
          <w:b/>
          <w:bCs/>
          <w:color w:val="0A1628"/>
          <w:sz w:val="19"/>
          <w:szCs w:val="19"/>
        </w:rPr>
        <w:t xml:space="preserve">9.1 Envío, control de calidad y acuses (Art. 37 Bis, fr. VI, RCG)</w:t>
      </w:r>
    </w:p>
    <w:p>
      <w:pPr>
        <w:pStyle w:val="ListParagraph"/>
        <w:numPr>
          <w:ilvl w:val="0"/>
          <w:numId w:val="1"/>
        </w:numPr>
        <w:spacing w:after="40"/>
      </w:pPr>
      <w:r>
        <w:rPr>
          <w:rFonts w:ascii="Calibri" w:cs="Calibri" w:eastAsia="Calibri" w:hAnsi="Calibri"/>
          <w:sz w:val="20"/>
          <w:szCs w:val="20"/>
        </w:rPr>
        <w:t xml:space="preserve">Vehículo: Portal en Internet del SAT, en el formato oficial vigente y con la e.firma del Notario Titular con la que se realizó el alta y registro (Art. 24 RCG), sin perjuicio del medio previsto en el Art. 24, último párrafo, de la Ley.</w:t>
      </w:r>
    </w:p>
    <w:p>
      <w:pPr>
        <w:pStyle w:val="ListParagraph"/>
        <w:numPr>
          <w:ilvl w:val="0"/>
          <w:numId w:val="1"/>
        </w:numPr>
        <w:spacing w:after="40"/>
      </w:pPr>
      <w:r>
        <w:rPr>
          <w:rFonts w:ascii="Calibri" w:cs="Calibri" w:eastAsia="Calibri" w:hAnsi="Calibri"/>
          <w:sz w:val="20"/>
          <w:szCs w:val="20"/>
        </w:rPr>
        <w:t xml:space="preserve">Calendario mensual (criterio del Programa): cierre de los actos u operaciones del mes el último día natural; preparación de los Avisos dentro de los primeros diez días; envío a más tardar el día 15, como margen de seguridad frente al límite legal del día 17.</w:t>
      </w:r>
    </w:p>
    <w:p>
      <w:pPr>
        <w:pStyle w:val="ListParagraph"/>
        <w:numPr>
          <w:ilvl w:val="0"/>
          <w:numId w:val="1"/>
        </w:numPr>
        <w:spacing w:after="40"/>
      </w:pPr>
      <w:r>
        <w:rPr>
          <w:rFonts w:ascii="Calibri" w:cs="Calibri" w:eastAsia="Calibri" w:hAnsi="Calibri"/>
          <w:sz w:val="20"/>
          <w:szCs w:val="20"/>
        </w:rPr>
        <w:t xml:space="preserve">Control de calidad previo al envío: se verifican contra el expediente los datos del Cliente o Usuaria y del Beneficiario Controlador (nombre, RFC, CURP), la fecha del acto u operación (Arts. 5 y 24 del Reglamento y 24 Bis RCG), el monto, la forma de pago y la descripción del acto. Siempre que sea posible, la verificación la realiza una persona distinta de quien capturó el Aviso.</w:t>
      </w:r>
    </w:p>
    <w:p>
      <w:pPr>
        <w:pStyle w:val="ListParagraph"/>
        <w:numPr>
          <w:ilvl w:val="0"/>
          <w:numId w:val="1"/>
        </w:numPr>
        <w:spacing w:after="40"/>
      </w:pPr>
      <w:r>
        <w:rPr>
          <w:rFonts w:ascii="Calibri" w:cs="Calibri" w:eastAsia="Calibri" w:hAnsi="Calibri"/>
          <w:sz w:val="20"/>
          <w:szCs w:val="20"/>
        </w:rPr>
        <w:t xml:space="preserve">Acuses: el acuse con sello digital se descarga y conserva en el expediente del cliente y en el control mensual (Documento D12-NOT) durante diez años; cada mes se concilian los actos u operaciones realizados, los Avisos o el informe en ceros presentados y sus acuses.</w:t>
      </w:r>
    </w:p>
    <w:p>
      <w:pPr>
        <w:pStyle w:val="ListParagraph"/>
        <w:numPr>
          <w:ilvl w:val="0"/>
          <w:numId w:val="1"/>
        </w:numPr>
        <w:spacing w:after="40"/>
      </w:pPr>
      <w:r>
        <w:rPr>
          <w:rFonts w:ascii="Calibri" w:cs="Calibri" w:eastAsia="Calibri" w:hAnsi="Calibri"/>
          <w:sz w:val="20"/>
          <w:szCs w:val="20"/>
        </w:rPr>
        <w:t xml:space="preserve">Correcciones: si se detecta un error en un Aviso presentado, se presenta el Aviso modificatorio disponible en el Portal y se documentan la causa y la fecha de corrección.</w:t>
      </w:r>
    </w:p>
    <w:p>
      <w:pPr>
        <w:pStyle w:val="ListParagraph"/>
        <w:numPr>
          <w:ilvl w:val="0"/>
          <w:numId w:val="1"/>
        </w:numPr>
        <w:spacing w:after="40"/>
      </w:pPr>
      <w:r>
        <w:rPr>
          <w:rFonts w:ascii="Calibri" w:cs="Calibri" w:eastAsia="Calibri" w:hAnsi="Calibri"/>
          <w:sz w:val="20"/>
          <w:szCs w:val="20"/>
        </w:rPr>
        <w:t xml:space="preserve">Avisos de 24 horas: el análisis que lleva a presentar —o a no presentar— un Aviso por sospecha o por hechos o indicios se documenta por escrito, y su contenido se mantiene en estricta confidencialidad.</w:t>
      </w:r>
    </w:p>
    <w:p>
      <w:pPr>
        <w:shd w:fill="1F3864" w:val="clear"/>
        <w:spacing w:after="100" w:before="220"/>
      </w:pPr>
      <w:r>
        <w:rPr>
          <w:rFonts w:ascii="Calibri" w:cs="Calibri" w:eastAsia="Calibri" w:hAnsi="Calibri"/>
          <w:b/>
          <w:bCs/>
          <w:color w:val="FFFFFF"/>
          <w:sz w:val="22"/>
          <w:szCs w:val="22"/>
        </w:rPr>
        <w:t xml:space="preserve">Capítulo 10: Resguardo Documental</w:t>
      </w:r>
    </w:p>
    <w:p>
      <w:pPr>
        <w:spacing w:after="110"/>
      </w:pPr>
      <w:r>
        <w:rPr>
          <w:rFonts w:ascii="Calibri" w:cs="Calibri" w:eastAsia="Calibri" w:hAnsi="Calibri"/>
          <w:sz w:val="20"/>
          <w:szCs w:val="20"/>
        </w:rPr>
        <w:t xml:space="preserve">Aplica la Política de Resguardo Documental, Documento D10-NOT — plazo de conservación de 10 años conforme al artículo 18, fracción IV.</w:t>
      </w:r>
    </w:p>
    <w:p>
      <w:pPr>
        <w:keepNext/>
        <w:spacing w:after="60" w:before="120"/>
      </w:pPr>
      <w:r>
        <w:rPr>
          <w:rFonts w:ascii="Calibri" w:cs="Calibri" w:eastAsia="Calibri" w:hAnsi="Calibri"/>
          <w:b/>
          <w:bCs/>
          <w:color w:val="0A1628"/>
          <w:sz w:val="19"/>
          <w:szCs w:val="19"/>
        </w:rPr>
        <w:t xml:space="preserve">10.1 Integridad, acceso, respaldo y recuperación (Art. 37 Bis, fr. VII, RCG)</w:t>
      </w:r>
    </w:p>
    <w:p>
      <w:pPr>
        <w:pStyle w:val="ListParagraph"/>
        <w:numPr>
          <w:ilvl w:val="0"/>
          <w:numId w:val="1"/>
        </w:numPr>
        <w:spacing w:after="40"/>
      </w:pPr>
      <w:r>
        <w:rPr>
          <w:rFonts w:ascii="Calibri" w:cs="Calibri" w:eastAsia="Calibri" w:hAnsi="Calibri"/>
          <w:sz w:val="20"/>
          <w:szCs w:val="20"/>
        </w:rPr>
        <w:t xml:space="preserve">Cada Cliente o Usuaria tiene un expediente único (físico, digital o mixto) con un índice de su contenido; los documentos digitalizados conservan su legibilidad y, cuando proceda, se resguarda el original.</w:t>
      </w:r>
    </w:p>
    <w:p>
      <w:pPr>
        <w:pStyle w:val="ListParagraph"/>
        <w:numPr>
          <w:ilvl w:val="0"/>
          <w:numId w:val="1"/>
        </w:numPr>
        <w:spacing w:after="40"/>
      </w:pPr>
      <w:r>
        <w:rPr>
          <w:rFonts w:ascii="Calibri" w:cs="Calibri" w:eastAsia="Calibri" w:hAnsi="Calibri"/>
          <w:sz w:val="20"/>
          <w:szCs w:val="20"/>
        </w:rPr>
        <w:t xml:space="preserve">Integridad: los registros no se alteran; las correcciones se hacen mediante una nueva versión fechada que conserva la anterior.</w:t>
      </w:r>
    </w:p>
    <w:p>
      <w:pPr>
        <w:pStyle w:val="ListParagraph"/>
        <w:numPr>
          <w:ilvl w:val="0"/>
          <w:numId w:val="1"/>
        </w:numPr>
        <w:spacing w:after="40"/>
      </w:pPr>
      <w:r>
        <w:rPr>
          <w:rFonts w:ascii="Calibri" w:cs="Calibri" w:eastAsia="Calibri" w:hAnsi="Calibri"/>
          <w:sz w:val="20"/>
          <w:szCs w:val="20"/>
        </w:rPr>
        <w:t xml:space="preserve">Acceso: restringido a las personas autorizadas en la sección de protección de datos de este Manual y al auditor.</w:t>
      </w:r>
    </w:p>
    <w:p>
      <w:pPr>
        <w:pStyle w:val="ListParagraph"/>
        <w:numPr>
          <w:ilvl w:val="0"/>
          <w:numId w:val="1"/>
        </w:numPr>
        <w:spacing w:after="40"/>
      </w:pPr>
      <w:r>
        <w:rPr>
          <w:rFonts w:ascii="Calibri" w:cs="Calibri" w:eastAsia="Calibri" w:hAnsi="Calibri"/>
          <w:sz w:val="20"/>
          <w:szCs w:val="20"/>
        </w:rPr>
        <w:t xml:space="preserve">Respaldo y recuperación: respaldo de la información digital al menos una vez por semana en una ubicación distinta de la principal y prueba anual de recuperación, documentada (criterio del Programa).</w:t>
      </w:r>
    </w:p>
    <w:p>
      <w:pPr>
        <w:pStyle w:val="ListParagraph"/>
        <w:numPr>
          <w:ilvl w:val="0"/>
          <w:numId w:val="1"/>
        </w:numPr>
        <w:spacing w:after="40"/>
      </w:pPr>
      <w:r>
        <w:rPr>
          <w:rFonts w:ascii="Calibri" w:cs="Calibri" w:eastAsia="Calibri" w:hAnsi="Calibri"/>
          <w:sz w:val="20"/>
          <w:szCs w:val="20"/>
        </w:rPr>
        <w:t xml:space="preserve">Plazos y lugar de conservación: conforme al Documento D10-NOT.</w:t>
      </w:r>
    </w:p>
    <w:p>
      <w:pPr>
        <w:shd w:fill="1F3864" w:val="clear"/>
        <w:spacing w:after="100" w:before="220"/>
      </w:pPr>
      <w:r>
        <w:rPr>
          <w:rFonts w:ascii="Calibri" w:cs="Calibri" w:eastAsia="Calibri" w:hAnsi="Calibri"/>
          <w:b/>
          <w:bCs/>
          <w:color w:val="FFFFFF"/>
          <w:sz w:val="22"/>
          <w:szCs w:val="22"/>
        </w:rPr>
        <w:t xml:space="preserve">Capítulo 11: Capacitación</w:t>
      </w:r>
    </w:p>
    <w:p>
      <w:pPr>
        <w:spacing w:after="110"/>
      </w:pPr>
      <w:r>
        <w:rPr>
          <w:rFonts w:ascii="Calibri" w:cs="Calibri" w:eastAsia="Calibri" w:hAnsi="Calibri"/>
          <w:sz w:val="20"/>
          <w:szCs w:val="20"/>
        </w:rPr>
        <w:t xml:space="preserve">Aplica el Programa Anual de Capacitación, Documento D11-NOT, con los casos prácticos (D11B-NOT) y la evaluación de comprensión (D11C-NOT). Los cursos se imparten al menos una vez al año por instructores con al menos cinco años de experiencia en la materia (Art. 39 Bis RCG); la evidencia se conserva diez años (Art. 39 Bis 1 RCG).</w:t>
      </w:r>
    </w:p>
    <w:p>
      <w:pPr>
        <w:keepNext/>
        <w:spacing w:after="60" w:before="120"/>
      </w:pPr>
      <w:r>
        <w:rPr>
          <w:rFonts w:ascii="Calibri" w:cs="Calibri" w:eastAsia="Calibri" w:hAnsi="Calibri"/>
          <w:b/>
          <w:bCs/>
          <w:color w:val="0A1628"/>
          <w:sz w:val="19"/>
          <w:szCs w:val="19"/>
        </w:rPr>
        <w:t xml:space="preserve">11.1 Evaluación y medidas ante resultados no satisfactorios (Art. 39 Bis 1 RCG)</w:t>
      </w:r>
    </w:p>
    <w:p>
      <w:pPr>
        <w:pStyle w:val="ListParagraph"/>
        <w:numPr>
          <w:ilvl w:val="0"/>
          <w:numId w:val="1"/>
        </w:numPr>
        <w:spacing w:after="40"/>
      </w:pPr>
      <w:r>
        <w:rPr>
          <w:rFonts w:ascii="Calibri" w:cs="Calibri" w:eastAsia="Calibri" w:hAnsi="Calibri"/>
          <w:sz w:val="20"/>
          <w:szCs w:val="20"/>
        </w:rPr>
        <w:t xml:space="preserve">Al concluir cada curso, los participantes presentan la evaluación de conocimientos del Documento D11C-NOT; la calificación mínima aprobatoria es la que fija ese documento (aproximadamente 70 %). La constancia de participación solo se expide a quien aprueba.</w:t>
      </w:r>
    </w:p>
    <w:p>
      <w:pPr>
        <w:pStyle w:val="ListParagraph"/>
        <w:numPr>
          <w:ilvl w:val="0"/>
          <w:numId w:val="1"/>
        </w:numPr>
        <w:spacing w:after="40"/>
      </w:pPr>
      <w:r>
        <w:rPr>
          <w:rFonts w:ascii="Calibri" w:cs="Calibri" w:eastAsia="Calibri" w:hAnsi="Calibri"/>
          <w:sz w:val="20"/>
          <w:szCs w:val="20"/>
        </w:rPr>
        <w:t xml:space="preserve">Primera reprobación: capacitación remedial dentro de los quince días hábiles siguientes y nueva evaluación.</w:t>
      </w:r>
    </w:p>
    <w:p>
      <w:pPr>
        <w:pStyle w:val="ListParagraph"/>
        <w:numPr>
          <w:ilvl w:val="0"/>
          <w:numId w:val="1"/>
        </w:numPr>
        <w:spacing w:after="40"/>
      </w:pPr>
      <w:r>
        <w:rPr>
          <w:rFonts w:ascii="Calibri" w:cs="Calibri" w:eastAsia="Calibri" w:hAnsi="Calibri"/>
          <w:sz w:val="20"/>
          <w:szCs w:val="20"/>
        </w:rPr>
        <w:t xml:space="preserve">Segunda reprobación: la persona se retira temporalmente de las funciones de atención al público, identificación de clientes, envío de Avisos o administración de recursos hasta que acredite la evaluación; mientras tanto, actúa bajo supervisión directa.</w:t>
      </w:r>
    </w:p>
    <w:p>
      <w:pPr>
        <w:pStyle w:val="ListParagraph"/>
        <w:numPr>
          <w:ilvl w:val="0"/>
          <w:numId w:val="1"/>
        </w:numPr>
        <w:spacing w:after="40"/>
      </w:pPr>
      <w:r>
        <w:rPr>
          <w:rFonts w:ascii="Calibri" w:cs="Calibri" w:eastAsia="Calibri" w:hAnsi="Calibri"/>
          <w:sz w:val="20"/>
          <w:szCs w:val="20"/>
        </w:rPr>
        <w:t xml:space="preserve">Reincidencia o negativa injustificada a capacitarse: se aplican las medidas disciplinarias previstas en el reglamento interior de trabajo o en el contrato respectivo, conforme a la legislación laboral.</w:t>
      </w:r>
    </w:p>
    <w:p>
      <w:pPr>
        <w:pStyle w:val="ListParagraph"/>
        <w:numPr>
          <w:ilvl w:val="0"/>
          <w:numId w:val="1"/>
        </w:numPr>
        <w:spacing w:after="40"/>
      </w:pPr>
      <w:r>
        <w:rPr>
          <w:rFonts w:ascii="Calibri" w:cs="Calibri" w:eastAsia="Calibri" w:hAnsi="Calibri"/>
          <w:sz w:val="20"/>
          <w:szCs w:val="20"/>
        </w:rPr>
        <w:t xml:space="preserve">El personal que ingrese a áreas de atención al público o de administración de recursos se capacita antes de iniciar funciones o al mismo tiempo (Art. 39 Bis 1, tercer párrafo). Las evaluaciones, constancias, listas de asistencia y medidas aplicadas se conservan por diez años (Documento D11-NOT).</w:t>
      </w:r>
    </w:p>
    <w:p>
      <w:pPr>
        <w:shd w:fill="1F3864" w:val="clear"/>
        <w:spacing w:after="100" w:before="220"/>
      </w:pPr>
      <w:r>
        <w:rPr>
          <w:rFonts w:ascii="Calibri" w:cs="Calibri" w:eastAsia="Calibri" w:hAnsi="Calibri"/>
          <w:b/>
          <w:bCs/>
          <w:color w:val="FFFFFF"/>
          <w:sz w:val="22"/>
          <w:szCs w:val="22"/>
        </w:rPr>
        <w:t xml:space="preserve">Capítulo 12: Auditoría Interna</w:t>
      </w:r>
    </w:p>
    <w:p>
      <w:pPr>
        <w:spacing w:after="110"/>
      </w:pPr>
      <w:r>
        <w:rPr>
          <w:rFonts w:ascii="Calibri" w:cs="Calibri" w:eastAsia="Calibri" w:hAnsi="Calibri"/>
          <w:sz w:val="20"/>
          <w:szCs w:val="20"/>
        </w:rPr>
        <w:t xml:space="preserve">Formato del dictamen: Documento D13-NOT, conforme al artículo 18, fracción XI.</w:t>
      </w:r>
    </w:p>
    <w:p>
      <w:pPr>
        <w:spacing w:after="110"/>
      </w:pPr>
      <w:r>
        <w:rPr>
          <w:rFonts w:ascii="Calibri" w:cs="Calibri" w:eastAsia="Calibri" w:hAnsi="Calibri"/>
          <w:sz w:val="20"/>
          <w:szCs w:val="20"/>
        </w:rPr>
        <w:t xml:space="preserve">La auditoría es anual, por año calendario (Art. 18, fr. XI, de la Ley; Arts. 42 a 51 RCG) y evalúa y dictamina la efectividad del cumplimiento de la Ley, su Reglamento y las RCG. Cuando el Riesgo de la Notaría, determinado conforme a la sección 5.1, sea bajo o medio, puede realizarla un área de auditoría interna independiente o una persona auditora externa independiente; cuando sea alto, una persona auditora externa independiente con título y cédula en derecho, contaduría, finanzas, administración o informática, al menos tres años de experiencia en la materia y certificación vigente de la UIF. Si la Notaría no cuenta con un área de auditoría interna independiente del Notario Titular, la revisión se encomienda a una persona auditora externa. El dictamen se estructura en siete secciones (presentación, objeto, volumen y muestreo, proceso de auditoría, hallazgos, resultados de cumplimiento y acciones correctivas) y califica cada obligación como Cumple, Cumple mayoritariamente, Cumple parcialmente, No cumple o No aplica.</w:t>
      </w:r>
    </w:p>
    <w:p>
      <w:pPr>
        <w:keepNext/>
        <w:spacing w:after="60" w:before="120"/>
      </w:pPr>
      <w:r>
        <w:rPr>
          <w:rFonts w:ascii="Calibri" w:cs="Calibri" w:eastAsia="Calibri" w:hAnsi="Calibri"/>
          <w:b/>
          <w:bCs/>
          <w:color w:val="0A1628"/>
          <w:sz w:val="19"/>
          <w:szCs w:val="19"/>
        </w:rPr>
        <w:t xml:space="preserve">12.1 Control interno y supervisión continua (Art. 37 Bis, fr. XII, RCG)</w:t>
      </w:r>
    </w:p>
    <w:p>
      <w:pPr>
        <w:spacing w:after="110"/>
      </w:pPr>
      <w:r>
        <w:rPr>
          <w:rFonts w:ascii="Calibri" w:cs="Calibri" w:eastAsia="Calibri" w:hAnsi="Calibri"/>
          <w:sz w:val="20"/>
          <w:szCs w:val="20"/>
        </w:rPr>
        <w:t xml:space="preserve">Además de la auditoría anual, se aplican los siguientes controles:</w:t>
      </w:r>
    </w:p>
    <w:p>
      <w:pPr>
        <w:pStyle w:val="ListParagraph"/>
        <w:numPr>
          <w:ilvl w:val="0"/>
          <w:numId w:val="1"/>
        </w:numPr>
        <w:spacing w:after="40"/>
      </w:pPr>
      <w:r>
        <w:rPr>
          <w:rFonts w:ascii="Calibri" w:cs="Calibri" w:eastAsia="Calibri" w:hAnsi="Calibri"/>
          <w:sz w:val="20"/>
          <w:szCs w:val="20"/>
        </w:rPr>
        <w:t xml:space="preserve">Control preventivo: antes de formalizar cada acto u operación, el Notario Titular — o la persona que designe — verifica con una lista de control que el expediente esté completo, el Grado de Riesgo asignado, las listas y la calidad de PEP consultadas, la forma de pago documentada y, en su caso, la aprobación o constancia de PEP de Riesgo alto.</w:t>
      </w:r>
    </w:p>
    <w:p>
      <w:pPr>
        <w:pStyle w:val="ListParagraph"/>
        <w:numPr>
          <w:ilvl w:val="0"/>
          <w:numId w:val="1"/>
        </w:numPr>
        <w:spacing w:after="40"/>
      </w:pPr>
      <w:r>
        <w:rPr>
          <w:rFonts w:ascii="Calibri" w:cs="Calibri" w:eastAsia="Calibri" w:hAnsi="Calibri"/>
          <w:sz w:val="20"/>
          <w:szCs w:val="20"/>
        </w:rPr>
        <w:t xml:space="preserve">Control de detección mensual: conciliación de actos u operaciones, Avisos e informes y acuses (Documento D12-NOT); revisión de las alertas abiertas y de los Grados de Riesgo con reevaluación vencida.</w:t>
      </w:r>
    </w:p>
    <w:p>
      <w:pPr>
        <w:pStyle w:val="ListParagraph"/>
        <w:numPr>
          <w:ilvl w:val="0"/>
          <w:numId w:val="1"/>
        </w:numPr>
        <w:spacing w:after="40"/>
      </w:pPr>
      <w:r>
        <w:rPr>
          <w:rFonts w:ascii="Calibri" w:cs="Calibri" w:eastAsia="Calibri" w:hAnsi="Calibri"/>
          <w:sz w:val="20"/>
          <w:szCs w:val="20"/>
        </w:rPr>
        <w:t xml:space="preserve">Revisión trimestral: muestra de al menos el 10 % de los expedientes del trimestre (mínimo cinco), revisada por el Notario Titular, sobre expedientes integrados por el personal, o un tercero independiente cuando el propio Notario los haya integrado, con hallazgos y acciones correctivas (criterio del Programa).</w:t>
      </w:r>
    </w:p>
    <w:p>
      <w:pPr>
        <w:pStyle w:val="ListParagraph"/>
        <w:numPr>
          <w:ilvl w:val="0"/>
          <w:numId w:val="1"/>
        </w:numPr>
        <w:spacing w:after="40"/>
      </w:pPr>
      <w:r>
        <w:rPr>
          <w:rFonts w:ascii="Calibri" w:cs="Calibri" w:eastAsia="Calibri" w:hAnsi="Calibri"/>
          <w:sz w:val="20"/>
          <w:szCs w:val="20"/>
        </w:rPr>
        <w:t xml:space="preserve">Indicadores: porcentaje de expedientes completos, Avisos presentados en plazo, alertas atendidas en plazo y personal capacitado y acreditado.</w:t>
      </w:r>
    </w:p>
    <w:p>
      <w:pPr>
        <w:pStyle w:val="ListParagraph"/>
        <w:numPr>
          <w:ilvl w:val="0"/>
          <w:numId w:val="1"/>
        </w:numPr>
        <w:spacing w:after="40"/>
      </w:pPr>
      <w:r>
        <w:rPr>
          <w:rFonts w:ascii="Calibri" w:cs="Calibri" w:eastAsia="Calibri" w:hAnsi="Calibri"/>
          <w:sz w:val="20"/>
          <w:szCs w:val="20"/>
        </w:rPr>
        <w:t xml:space="preserve">Informe: el Notario Titular documenta semestralmente los resultados, hallazgos y acciones correctivas con responsable y fecha; el auditor revisa su seguimiento en la auditoría anual.</w:t>
      </w:r>
    </w:p>
    <w:p>
      <w:pPr>
        <w:pStyle w:val="ListParagraph"/>
        <w:numPr>
          <w:ilvl w:val="0"/>
          <w:numId w:val="1"/>
        </w:numPr>
        <w:spacing w:after="40"/>
      </w:pPr>
      <w:r>
        <w:rPr>
          <w:rFonts w:ascii="Calibri" w:cs="Calibri" w:eastAsia="Calibri" w:hAnsi="Calibri"/>
          <w:sz w:val="20"/>
          <w:szCs w:val="20"/>
        </w:rPr>
        <w:t xml:space="preserve">Plan de seguimiento de observaciones: cada hallazgo del dictamen de auditoría y de la supervisión interna se registra con su acción correctiva, responsable y fecha compromiso —no mayor a 90 días para los calificados "No cumple" y a 180 días para "Cumple parcialmente" (criterio del Programa)—. El Notario Titular da seguimiento trimestral, documenta el cierre con evidencia y presenta el estatus al siguiente auditor (Art. 42 RCG, programas de acción correctiva).</w:t>
      </w:r>
    </w:p>
    <w:p>
      <w:pPr>
        <w:shd w:fill="1F3864" w:val="clear"/>
        <w:spacing w:after="100" w:before="220"/>
      </w:pPr>
      <w:r>
        <w:rPr>
          <w:rFonts w:ascii="Calibri" w:cs="Calibri" w:eastAsia="Calibri" w:hAnsi="Calibri"/>
          <w:b/>
          <w:bCs/>
          <w:color w:val="FFFFFF"/>
          <w:sz w:val="22"/>
          <w:szCs w:val="22"/>
        </w:rPr>
        <w:t xml:space="preserve">Capítulo 13: Perfil Transaccional y Sistema de Alertas</w:t>
      </w:r>
    </w:p>
    <w:p>
      <w:pPr>
        <w:spacing w:after="110"/>
      </w:pPr>
      <w:r>
        <w:rPr>
          <w:rFonts w:ascii="Calibri" w:cs="Calibri" w:eastAsia="Calibri" w:hAnsi="Calibri"/>
          <w:sz w:val="20"/>
          <w:szCs w:val="20"/>
        </w:rPr>
        <w:t xml:space="preserve">La Notaría determina el Perfil Transaccional inicial de cada Cliente o Usuaria con base en la información que proporcione sobre los montos, frecuencia y tipo de actos que estima realizar (Art. 23 Ter 1 RCG), y lo incorpora a un sistema de alertas que permite detectar comportamientos que se aparten de lo esperado y que pudieran vincularse con los delitos de los artículos 139 Quáter o 400 Bis del Código Penal Federal (Art. 23 Ter 2 RCG). El Perfil Transaccional se reevalúa cuando menos cada seis meses. Toda alerta se documenta conforme al Documento D9-NOT.</w:t>
      </w:r>
    </w:p>
    <w:p>
      <w:pPr>
        <w:keepNext/>
        <w:spacing w:after="60" w:before="120"/>
      </w:pPr>
      <w:r>
        <w:rPr>
          <w:rFonts w:ascii="Calibri" w:cs="Calibri" w:eastAsia="Calibri" w:hAnsi="Calibri"/>
          <w:b/>
          <w:bCs/>
          <w:color w:val="0A1628"/>
          <w:sz w:val="19"/>
          <w:szCs w:val="19"/>
        </w:rPr>
        <w:t xml:space="preserve">13.1 Parámetros del sistema de alertas y documentación de resultados (Art. 37 Bis, fr. V, RCG)</w:t>
      </w:r>
    </w:p>
    <w:p>
      <w:pPr>
        <w:spacing w:after="110"/>
      </w:pPr>
      <w:r>
        <w:rPr>
          <w:rFonts w:ascii="Calibri" w:cs="Calibri" w:eastAsia="Calibri" w:hAnsi="Calibri"/>
          <w:sz w:val="20"/>
          <w:szCs w:val="20"/>
        </w:rPr>
        <w:t xml:space="preserve">El sistema de alertas aplica, como mínimo, los parámetros siguientes: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3500"/>
      </w:tblGrid>
      <w:tr>
        <w:trPr>
          <w:tblHeader/>
        </w:trPr>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Alerta</w:t>
            </w:r>
          </w:p>
        </w:tc>
        <w:tc>
          <w:tcPr>
            <w:tcW w:type="dxa" w:w="4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Parámetro</w:t>
            </w:r>
          </w:p>
        </w:tc>
        <w:tc>
          <w:tcPr>
            <w:tcW w:type="dxa" w:w="35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Acción</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Monto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El acto u operación, o la suma de los realizados en el mes, excede en más de 20 % el monto máximo mensual declarado por el cliente (criterio del Programa).</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Solicitar y documentar la justificación en ≤ 2 días hábiles; actualizar el Perfil Transaccional o escalar.</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Forma de pago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Cambio a efectivo, pago por un tercero, o recursos de una cuenta no declarada o del extranjero.</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Detener la recepción de recursos hasta verificar el origen; el efectivo en los supuestos del Art. 32 de la Ley está prohibido.</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Frecuencia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Más actos u operaciones de los declarados en el periodo (p. ej., un segundo acto similar dentro de seis meses).</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Reevaluar el Grado de Riesgo y actualizar el expediente.</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Geografía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Recursos, domicilio o contrapartes vinculados con jurisdicciones de Riesgo.</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Clasificar como Riesgo alto cuando corresponda (Art. 23 Bis 4 RCG).</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Listas y PEP</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Coincidencia en listas o adquisición de la calidad de PEP.</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Aplicar el procedimiento de listas o la política de PEP's de este Manual.</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Precio o valor</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Precio declarado notoriamente distinto del avalúo o del valor de referencia del inmueble.</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Documentar la explicación; analizar Aviso por sospecha (D9-NOT).</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Pago anticipado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Precio pagado total o parcialmente antes de la firma sin comprobante de la forma de pago (Art. 33 de la Ley).</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Recabar los comprobantes o la declaración bajo protesta que corresponda.</w:t>
            </w:r>
          </w:p>
        </w:tc>
      </w:tr>
    </w:tbl>
    <w:p>
      <w:pPr>
        <w:spacing w:after="80"/>
      </w:pPr>
    </w:p>
    <w:p>
      <w:pPr>
        <w:spacing w:after="110"/>
      </w:pPr>
      <w:r>
        <w:rPr>
          <w:rFonts w:ascii="Calibri" w:cs="Calibri" w:eastAsia="Calibri" w:hAnsi="Calibri"/>
          <w:sz w:val="20"/>
          <w:szCs w:val="20"/>
        </w:rPr>
        <w:t xml:space="preserve">Cada alerta se registra con fecha, cliente, parámetro, análisis, decisión (descartada; Perfil actualizado; reclasificación del Grado de Riesgo; o análisis de Aviso) y responsable. Si una alerta no puede descartarse razonablemente, se analiza conforme al Documento D9-NOT para determinar si procede el Aviso dentro de las 24 horas siguientes. Los registros se conservan diez años e integran los mecanismos automatizados.</w:t>
      </w:r>
    </w:p>
    <w:p>
      <w:pPr>
        <w:keepNext/>
        <w:spacing w:after="60" w:before="120"/>
      </w:pPr>
      <w:r>
        <w:rPr>
          <w:rFonts w:ascii="Calibri" w:cs="Calibri" w:eastAsia="Calibri" w:hAnsi="Calibri"/>
          <w:b/>
          <w:bCs/>
          <w:color w:val="0A1628"/>
          <w:sz w:val="19"/>
          <w:szCs w:val="19"/>
        </w:rPr>
        <w:t xml:space="preserve">13.2 Procedimiento interno de análisis y dictamen de alertas</w:t>
      </w:r>
    </w:p>
    <w:p>
      <w:pPr>
        <w:spacing w:after="110"/>
      </w:pPr>
      <w:r>
        <w:rPr>
          <w:rFonts w:ascii="Calibri" w:cs="Calibri" w:eastAsia="Calibri" w:hAnsi="Calibri"/>
          <w:sz w:val="20"/>
          <w:szCs w:val="20"/>
        </w:rPr>
        <w:t xml:space="preserve">Toda alerta —por desviación del Perfil Transaccional, señal de alerta, coincidencia en listas o PEP, o jurisdicción de Riesgo— sigue este flujo. Los plazos internos son criterio del Programa; el plazo de 24 horas es legal.</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gridCol w:w="2600"/>
      </w:tblGrid>
      <w:tr>
        <w:trPr>
          <w:tblHeader/>
        </w:trPr>
        <w:tc>
          <w:tcPr>
            <w:tcW w:type="dxa" w:w="2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Etapa</w:t>
            </w:r>
          </w:p>
        </w:tc>
        <w:tc>
          <w:tcPr>
            <w:tcW w:type="dxa" w:w="4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Actividad</w:t>
            </w:r>
          </w:p>
        </w:tc>
        <w:tc>
          <w:tcPr>
            <w:tcW w:type="dxa" w:w="2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Plazo</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1. Registro</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Se registra la alerta con fecha, cliente, origen y parámetro activado.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El mismo día en que se genera</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2. Análisis preliminar</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Se revisan el expediente, el Perfil Transaccional y el historial. Si hace falta información del cliente, se solicita como actualización ordinaria del expediente, sin revelar la existencia de la alerta (Capítulo 16).</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2 días hábiles</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3. Escalamiento</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Si la alerta no se descarta, se escala al Notario Titular. Las alertas de listas, PEP de Riesgo alto o jurisdicciones de Riesgo se escalan de inmediato.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Inmediato al concluir la etapa 2</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4. Dictamen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Conclusión escrita y motivada: (a) descartada; (b) inusual sin elementos de sospecha → actualizar el Perfil y aplicar monitoreo reforzado; (c) sospechosa → Aviso por sospecha; (d) coincidencia confirmada en listas → abstención y Aviso.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5 días hábiles desde la alerta</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5. Aviso de 24 horas</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En los casos (c) y (d), el Aviso se presenta dentro de las 24 horas siguientes a que se reconoció la conducta inusitada o el indicio (Arts. 26 Bis, 26 Bis 1 y 27 RCG), aunque el acto no se haya celebrado o no alcance el umbral. Formato: Documento D9-NOT.</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24 horas (plazo legal)</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6. Decisión sobre la relación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Continuar, limitar o terminar la relación conforme a los criterios de apertura, limitación y terminación de este Manual.</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Junto con el dictamen</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7. Conservación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El registro, análisis, dictamen y evidencia se conservan diez años bajo confidencialidad.</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Permanente</w:t>
            </w:r>
          </w:p>
        </w:tc>
      </w:tr>
    </w:tbl>
    <w:p>
      <w:pPr>
        <w:spacing w:after="80"/>
      </w:pPr>
    </w:p>
    <w:p>
      <w:pPr>
        <w:spacing w:after="110"/>
      </w:pPr>
      <w:r>
        <w:rPr>
          <w:rFonts w:ascii="Calibri" w:cs="Calibri" w:eastAsia="Calibri" w:hAnsi="Calibri"/>
          <w:sz w:val="20"/>
          <w:szCs w:val="20"/>
        </w:rPr>
        <w:t xml:space="preserve">El análisis no puede usarse para diferir el Aviso: en cuanto se reconoce la conducta inusitada o el indicio, corre el plazo de 24 horas. En el régimen de la LFPIORPI, los actos que alcanzan el umbral se reportan mediante el Aviso mensual ordinario, con independencia de este procedimiento.</w:t>
      </w:r>
    </w:p>
    <w:p>
      <w:pPr>
        <w:shd w:fill="1F3864" w:val="clear"/>
        <w:spacing w:after="100" w:before="220"/>
      </w:pPr>
      <w:r>
        <w:rPr>
          <w:rFonts w:ascii="Calibri" w:cs="Calibri" w:eastAsia="Calibri" w:hAnsi="Calibri"/>
          <w:b/>
          <w:bCs/>
          <w:color w:val="FFFFFF"/>
          <w:sz w:val="22"/>
          <w:szCs w:val="22"/>
        </w:rPr>
        <w:t xml:space="preserve">Capítulo 14: Seguimiento y Acumulación de Actos u Operaciones</w:t>
      </w:r>
    </w:p>
    <w:p>
      <w:pPr>
        <w:spacing w:after="110"/>
      </w:pPr>
      <w:r>
        <w:rPr>
          <w:rFonts w:ascii="Calibri" w:cs="Calibri" w:eastAsia="Calibri" w:hAnsi="Calibri"/>
          <w:sz w:val="20"/>
          <w:szCs w:val="20"/>
        </w:rPr>
        <w:t xml:space="preserve">La Notaría da seguimiento y acumula los actos u operaciones que, en lo individual, realice cada Cliente o Usuaria, en periodos de hasta seis meses contados a partir del primer acto (Art. 19 RCG; Art. 17, penúltimo párrafo, de la Ley), para determinar si en conjunto alcanzan el umbral de aviso. Conforme al Art. 19 RCG, la acumulación aplica a los incisos a), c) y d) de la Fracción XII, Apartado A; no aplica a los incisos b) y e).</w:t>
      </w:r>
    </w:p>
    <w:p>
      <w:pPr>
        <w:shd w:fill="1F3864" w:val="clear"/>
        <w:spacing w:after="100" w:before="220"/>
      </w:pPr>
      <w:r>
        <w:rPr>
          <w:rFonts w:ascii="Calibri" w:cs="Calibri" w:eastAsia="Calibri" w:hAnsi="Calibri"/>
          <w:b/>
          <w:bCs/>
          <w:color w:val="FFFFFF"/>
          <w:sz w:val="22"/>
          <w:szCs w:val="22"/>
        </w:rPr>
        <w:t xml:space="preserve">Capítulo 15: Identificación de Personas en Listas de Autoridades</w:t>
      </w:r>
    </w:p>
    <w:p>
      <w:pPr>
        <w:spacing w:after="110"/>
      </w:pPr>
      <w:r>
        <w:rPr>
          <w:rFonts w:ascii="Calibri" w:cs="Calibri" w:eastAsia="Calibri" w:hAnsi="Calibri"/>
          <w:sz w:val="20"/>
          <w:szCs w:val="20"/>
        </w:rPr>
        <w:t xml:space="preserve">La Notaría incorpora procedimientos para identificar a las personas incluidas en las listas que emitan autoridades nacionales u organismos internacionales y que dé a conocer la UIF (Art. 38 RCG), a fin de evitar el uso de recursos para el financiamiento de organizaciones delictivas u otras actividades ilícitas. Cuando la persona con quien se realice o intente realizar un acto esté en esas listas, se presenta Aviso dentro del plazo de 24 horas de los Arts. 26 Bis y 26 Bis 1 RCG (Art. 27 RCG).</w:t>
      </w:r>
    </w:p>
    <w:p>
      <w:pPr>
        <w:keepNext/>
        <w:spacing w:after="60" w:before="120"/>
      </w:pPr>
      <w:r>
        <w:rPr>
          <w:rFonts w:ascii="Calibri" w:cs="Calibri" w:eastAsia="Calibri" w:hAnsi="Calibri"/>
          <w:b/>
          <w:bCs/>
          <w:color w:val="0A1628"/>
          <w:sz w:val="19"/>
          <w:szCs w:val="19"/>
        </w:rPr>
        <w:t xml:space="preserve">15.1 Procedimiento de consulta de listas (Art. 37 Bis, fr. IX, RCG)</w:t>
      </w:r>
    </w:p>
    <w:p>
      <w:pPr>
        <w:pStyle w:val="ListParagraph"/>
        <w:numPr>
          <w:ilvl w:val="0"/>
          <w:numId w:val="1"/>
        </w:numPr>
        <w:spacing w:after="40"/>
      </w:pPr>
      <w:r>
        <w:rPr>
          <w:rFonts w:ascii="Calibri" w:cs="Calibri" w:eastAsia="Calibri" w:hAnsi="Calibri"/>
          <w:sz w:val="20"/>
          <w:szCs w:val="20"/>
        </w:rPr>
        <w:t xml:space="preserve">Fuentes: (i) las listas que dé a conocer la UIF conforme al Art. 38 RCG, emitidas por autoridades nacionales u organismos internacionales; (ii) las listas de sanciones del Consejo de Seguridad de la ONU; y (iii) como buena práctica, otras listas internacionales reconocidas (p. ej., OFAC) y noticias negativas en fuentes públicas.</w:t>
      </w:r>
    </w:p>
    <w:p>
      <w:pPr>
        <w:pStyle w:val="ListParagraph"/>
        <w:numPr>
          <w:ilvl w:val="0"/>
          <w:numId w:val="1"/>
        </w:numPr>
        <w:spacing w:after="40"/>
      </w:pPr>
      <w:r>
        <w:rPr>
          <w:rFonts w:ascii="Calibri" w:cs="Calibri" w:eastAsia="Calibri" w:hAnsi="Calibri"/>
          <w:sz w:val="20"/>
          <w:szCs w:val="20"/>
        </w:rPr>
        <w:t xml:space="preserve">Personas consultadas: el Cliente o Usuaria, su Beneficiario Controlador, sus representantes o apoderados y, en clientes de Riesgo alto, las personas vinculadas recabadas conforme a las medidas reforzadas.</w:t>
      </w:r>
    </w:p>
    <w:p>
      <w:pPr>
        <w:pStyle w:val="ListParagraph"/>
        <w:numPr>
          <w:ilvl w:val="0"/>
          <w:numId w:val="1"/>
        </w:numPr>
        <w:spacing w:after="40"/>
      </w:pPr>
      <w:r>
        <w:rPr>
          <w:rFonts w:ascii="Calibri" w:cs="Calibri" w:eastAsia="Calibri" w:hAnsi="Calibri"/>
          <w:sz w:val="20"/>
          <w:szCs w:val="20"/>
        </w:rPr>
        <w:t xml:space="preserve">Frecuencia: antes de cada acto u operación y, para la cartera con relación de negocios vigente, cada vez que se actualicen las listas y, en todo caso, en la reevaluación semestral del Grado de Riesgo.</w:t>
      </w:r>
    </w:p>
    <w:p>
      <w:pPr>
        <w:pStyle w:val="ListParagraph"/>
        <w:numPr>
          <w:ilvl w:val="0"/>
          <w:numId w:val="1"/>
        </w:numPr>
        <w:spacing w:after="40"/>
      </w:pPr>
      <w:r>
        <w:rPr>
          <w:rFonts w:ascii="Calibri" w:cs="Calibri" w:eastAsia="Calibri" w:hAnsi="Calibri"/>
          <w:sz w:val="20"/>
          <w:szCs w:val="20"/>
        </w:rPr>
        <w:t xml:space="preserve">Tratamiento de coincidencias: si la coincidencia es parcial o puede ser un homónimo, se verifica con la fecha de nacimiento, la CURP o el RFC y la nacionalidad. Si se descarta, se documenta como falso positivo. Si se confirma, se abstiene de realizar el acto u operación, presenta el Aviso dentro de las 24 horas (Art. 27 en relación con los Arts. 26 Bis y 26 Bis 1 RCG) y no alerta al cliente (Capítulo 16).</w:t>
      </w:r>
    </w:p>
    <w:p>
      <w:pPr>
        <w:pStyle w:val="ListParagraph"/>
        <w:numPr>
          <w:ilvl w:val="0"/>
          <w:numId w:val="1"/>
        </w:numPr>
        <w:spacing w:after="40"/>
      </w:pPr>
      <w:r>
        <w:rPr>
          <w:rFonts w:ascii="Calibri" w:cs="Calibri" w:eastAsia="Calibri" w:hAnsi="Calibri"/>
          <w:sz w:val="20"/>
          <w:szCs w:val="20"/>
        </w:rPr>
        <w:t xml:space="preserve">Evidencia: constancia de cada consulta con fecha, fuente, persona consultada, resultado y quién la realizó, integrada al expediente.</w:t>
      </w:r>
    </w:p>
    <w:p>
      <w:pPr>
        <w:pStyle w:val="ListParagraph"/>
        <w:numPr>
          <w:ilvl w:val="0"/>
          <w:numId w:val="1"/>
        </w:numPr>
        <w:spacing w:after="40"/>
      </w:pPr>
      <w:r>
        <w:rPr>
          <w:rFonts w:ascii="Calibri" w:cs="Calibri" w:eastAsia="Calibri" w:hAnsi="Calibri"/>
          <w:sz w:val="20"/>
          <w:szCs w:val="20"/>
        </w:rPr>
        <w:t xml:space="preserve">Verificación de funcionamiento: cada seis meses se prueba la herramienta o el procedimiento con un nombre de control incluido en las listas, para comprobar que lo detecta, y se verifica que las listas utilizadas sean las vigentes; el resultado se documenta (criterio del Programa).</w:t>
      </w:r>
    </w:p>
    <w:p>
      <w:pPr>
        <w:shd w:fill="1F3864" w:val="clear"/>
        <w:spacing w:after="100" w:before="220"/>
      </w:pPr>
      <w:r>
        <w:rPr>
          <w:rFonts w:ascii="Calibri" w:cs="Calibri" w:eastAsia="Calibri" w:hAnsi="Calibri"/>
          <w:b/>
          <w:bCs/>
          <w:color w:val="FFFFFF"/>
          <w:sz w:val="22"/>
          <w:szCs w:val="22"/>
        </w:rPr>
        <w:t xml:space="preserve">Capítulo 16: Confidencialidad</w:t>
      </w:r>
    </w:p>
    <w:p>
      <w:pPr>
        <w:spacing w:after="110"/>
      </w:pPr>
      <w:r>
        <w:rPr>
          <w:rFonts w:ascii="Calibri" w:cs="Calibri" w:eastAsia="Calibri" w:hAnsi="Calibri"/>
          <w:sz w:val="20"/>
          <w:szCs w:val="20"/>
        </w:rPr>
        <w:t xml:space="preserve">El Notario Titular y el personal de la Notaría mantienen absoluta confidencialidad sobre la información, documentación y actos u operaciones relacionados con el cumplimiento de la Ley, incluida la relativa al Beneficiario Controlador y a los Avisos presentados (Arts. 31 RCG y 50 de la Ley). Queda prohibido alertar al cliente o a terceros sobre cualquier referencia hecha en un Aviso, sobre requerimientos de información recibidos o sobre órdenes de aseguramiento antes de su ejecución; revelar sin autorización la vinculación de una persona con un Aviso o requerimiento constituye el delito del Art. 63, fr. II, de la Ley. La presentación de Avisos no vulnera el secreto profesional ni la confidencialidad (Art. 22 de la Ley).</w:t>
      </w:r>
    </w:p>
    <w:p>
      <w:pPr>
        <w:keepNext/>
        <w:spacing w:after="60" w:before="120"/>
      </w:pPr>
      <w:r>
        <w:rPr>
          <w:rFonts w:ascii="Calibri" w:cs="Calibri" w:eastAsia="Calibri" w:hAnsi="Calibri"/>
          <w:b/>
          <w:bCs/>
          <w:color w:val="0A1628"/>
          <w:sz w:val="19"/>
          <w:szCs w:val="19"/>
        </w:rPr>
        <w:t xml:space="preserve">16.1 Protección de datos personales (Art. 37 Bis, fr. XIII, RCG)</w:t>
      </w:r>
    </w:p>
    <w:p>
      <w:pPr>
        <w:pStyle w:val="ListParagraph"/>
        <w:numPr>
          <w:ilvl w:val="0"/>
          <w:numId w:val="1"/>
        </w:numPr>
        <w:spacing w:after="40"/>
      </w:pPr>
      <w:r>
        <w:rPr>
          <w:rFonts w:ascii="Calibri" w:cs="Calibri" w:eastAsia="Calibri" w:hAnsi="Calibri"/>
          <w:sz w:val="20"/>
          <w:szCs w:val="20"/>
        </w:rPr>
        <w:t xml:space="preserve">Los datos personales de Clientes o Usuarias, Beneficiarios Controladores, personas vinculadas y personal se tratan conforme a la legislación en materia de protección de datos personales que resulte aplicable a la Notaría, con la finalidad de cumplir las obligaciones de la Ley, su Reglamento y las RCG.</w:t>
      </w:r>
    </w:p>
    <w:p>
      <w:pPr>
        <w:pStyle w:val="ListParagraph"/>
        <w:numPr>
          <w:ilvl w:val="0"/>
          <w:numId w:val="1"/>
        </w:numPr>
        <w:spacing w:after="40"/>
      </w:pPr>
      <w:r>
        <w:rPr>
          <w:rFonts w:ascii="Calibri" w:cs="Calibri" w:eastAsia="Calibri" w:hAnsi="Calibri"/>
          <w:sz w:val="20"/>
          <w:szCs w:val="20"/>
        </w:rPr>
        <w:t xml:space="preserve">El aviso de privacidad informa esa finalidad, la transferencia de datos a la UIF, al SAT y a las autoridades facultadas, y el plazo de conservación de diez años. El tratamiento que deriva de una obligación legal no requiere consentimiento en los términos de esa legislación.</w:t>
      </w:r>
    </w:p>
    <w:p>
      <w:pPr>
        <w:pStyle w:val="ListParagraph"/>
        <w:numPr>
          <w:ilvl w:val="0"/>
          <w:numId w:val="1"/>
        </w:numPr>
        <w:spacing w:after="40"/>
      </w:pPr>
      <w:r>
        <w:rPr>
          <w:rFonts w:ascii="Calibri" w:cs="Calibri" w:eastAsia="Calibri" w:hAnsi="Calibri"/>
          <w:sz w:val="20"/>
          <w:szCs w:val="20"/>
        </w:rPr>
        <w:t xml:space="preserve">Acceso restringido a expedientes, Avisos y alertas: únicamente las personas autorizadas por el Notario Titular ([PERSONAS AUTORIZADAS]) y el auditor. En sistemas digitales se usan credenciales individuales y bitácora de accesos; el archivo físico se resguarda bajo llave.</w:t>
      </w:r>
    </w:p>
    <w:p>
      <w:pPr>
        <w:pStyle w:val="ListParagraph"/>
        <w:numPr>
          <w:ilvl w:val="0"/>
          <w:numId w:val="1"/>
        </w:numPr>
        <w:spacing w:after="40"/>
      </w:pPr>
      <w:r>
        <w:rPr>
          <w:rFonts w:ascii="Calibri" w:cs="Calibri" w:eastAsia="Calibri" w:hAnsi="Calibri"/>
          <w:sz w:val="20"/>
          <w:szCs w:val="20"/>
        </w:rPr>
        <w:t xml:space="preserve">Medidas de seguridad administrativas, físicas y técnicas: contraseñas robustas, cifrado o resguardo seguro de respaldos y destrucción segura al vencer los plazos (Documento D10-NOT).</w:t>
      </w:r>
    </w:p>
    <w:p>
      <w:pPr>
        <w:pStyle w:val="ListParagraph"/>
        <w:numPr>
          <w:ilvl w:val="0"/>
          <w:numId w:val="1"/>
        </w:numPr>
        <w:spacing w:after="40"/>
      </w:pPr>
      <w:r>
        <w:rPr>
          <w:rFonts w:ascii="Calibri" w:cs="Calibri" w:eastAsia="Calibri" w:hAnsi="Calibri"/>
          <w:sz w:val="20"/>
          <w:szCs w:val="20"/>
        </w:rPr>
        <w:t xml:space="preserve">Todo el personal con acceso firma un convenio de confidencialidad que incluye la prohibición de alertar al cliente o a terceros sobre Avisos y requerimientos.</w:t>
      </w:r>
    </w:p>
    <w:p>
      <w:pPr>
        <w:pStyle w:val="ListParagraph"/>
        <w:numPr>
          <w:ilvl w:val="0"/>
          <w:numId w:val="1"/>
        </w:numPr>
        <w:spacing w:after="40"/>
      </w:pPr>
      <w:r>
        <w:rPr>
          <w:rFonts w:ascii="Calibri" w:cs="Calibri" w:eastAsia="Calibri" w:hAnsi="Calibri"/>
          <w:sz w:val="20"/>
          <w:szCs w:val="20"/>
        </w:rPr>
        <w:t xml:space="preserve">Derechos ARCO: se atienden conforme a la legislación aplicable. La cancelación u oposición no procede respecto de los datos que deban conservarse por disposición legal, y la respuesta nunca revela la existencia de Avisos o requerimientos.</w:t>
      </w:r>
    </w:p>
    <w:p>
      <w:pPr>
        <w:pStyle w:val="ListParagraph"/>
        <w:numPr>
          <w:ilvl w:val="0"/>
          <w:numId w:val="1"/>
        </w:numPr>
        <w:spacing w:after="40"/>
      </w:pPr>
      <w:r>
        <w:rPr>
          <w:rFonts w:ascii="Calibri" w:cs="Calibri" w:eastAsia="Calibri" w:hAnsi="Calibri"/>
          <w:sz w:val="20"/>
          <w:szCs w:val="20"/>
        </w:rPr>
        <w:t xml:space="preserve">Incidentes: toda vulneración de seguridad se reporta de inmediato al Notario Titular, se documenta y se atiende conforme a la legislación de protección de datos.</w:t>
      </w:r>
    </w:p>
    <w:p>
      <w:pPr>
        <w:shd w:fill="1F3864" w:val="clear"/>
        <w:spacing w:after="100" w:before="220"/>
      </w:pPr>
      <w:r>
        <w:rPr>
          <w:rFonts w:ascii="Calibri" w:cs="Calibri" w:eastAsia="Calibri" w:hAnsi="Calibri"/>
          <w:b/>
          <w:bCs/>
          <w:color w:val="FFFFFF"/>
          <w:sz w:val="22"/>
          <w:szCs w:val="22"/>
        </w:rPr>
        <w:t xml:space="preserve">Capítulo 17: Identificación de Quien Solicita Materialmente la Protocolización</w:t>
      </w:r>
    </w:p>
    <w:p>
      <w:pPr>
        <w:spacing w:after="110"/>
      </w:pPr>
      <w:r>
        <w:rPr>
          <w:rFonts w:ascii="Calibri" w:cs="Calibri" w:eastAsia="Calibri" w:hAnsi="Calibri"/>
          <w:sz w:val="20"/>
          <w:szCs w:val="20"/>
        </w:rPr>
        <w:t xml:space="preserve">Con independencia de la identificación de las partes, el Notario identifica, al momento de realizar el acto, a la persona que solicite materialmente la protocolización o formalización del instrumento público, recabando la información del Anexo 3, inciso a), numerales i), ii), ix) y x), de las RCG (Art. 13 RCG). Este dato se registra en el expediente KYC (D7-NOT).</w:t>
      </w:r>
    </w:p>
    <w:p>
      <w:pPr>
        <w:shd w:fill="1F3864" w:val="clear"/>
        <w:spacing w:after="100" w:before="220"/>
      </w:pPr>
      <w:r>
        <w:rPr>
          <w:rFonts w:ascii="Calibri" w:cs="Calibri" w:eastAsia="Calibri" w:hAnsi="Calibri"/>
          <w:b/>
          <w:bCs/>
          <w:color w:val="FFFFFF"/>
          <w:sz w:val="22"/>
          <w:szCs w:val="22"/>
        </w:rPr>
        <w:t xml:space="preserve">Capítulo 18: Fe Pública Prestada al Poder Judicial o a Autoridades Administrativas</w:t>
      </w:r>
    </w:p>
    <w:p>
      <w:pPr>
        <w:spacing w:after="110"/>
      </w:pPr>
      <w:r>
        <w:rPr>
          <w:rFonts w:ascii="Calibri" w:cs="Calibri" w:eastAsia="Calibri" w:hAnsi="Calibri"/>
          <w:sz w:val="20"/>
          <w:szCs w:val="20"/>
        </w:rPr>
        <w:t xml:space="preserve">Cuando la Notaría preste servicios de fe pública al Poder Judicial de la Federación, de los Estados o de la Ciudad de México, o a autoridades administrativas en ejercicio de sus funciones de administración e impartición de justicia, integra el expediente único de identificación únicamente con los datos del Anexo 7 Bis de las RCG (Art. 13 Bis RCG).</w:t>
      </w:r>
    </w:p>
    <w:p>
      <w:pPr>
        <w:shd w:fill="1F3864" w:val="clear"/>
        <w:spacing w:after="100" w:before="220"/>
      </w:pPr>
      <w:r>
        <w:rPr>
          <w:rFonts w:ascii="Calibri" w:cs="Calibri" w:eastAsia="Calibri" w:hAnsi="Calibri"/>
          <w:b/>
          <w:bCs/>
          <w:color w:val="FFFFFF"/>
          <w:sz w:val="22"/>
          <w:szCs w:val="22"/>
        </w:rPr>
        <w:t xml:space="preserve">Capítulo 19: Criterios para Apertura, Limitación y Terminación de Relaciones Comerciales</w:t>
      </w:r>
    </w:p>
    <w:p>
      <w:pPr>
        <w:spacing w:after="110"/>
      </w:pPr>
      <w:r>
        <w:rPr>
          <w:rFonts w:ascii="Calibri" w:cs="Calibri" w:eastAsia="Calibri" w:hAnsi="Calibri"/>
          <w:sz w:val="20"/>
          <w:szCs w:val="20"/>
        </w:rPr>
        <w:t xml:space="preserve">En congruencia con la Metodología EBR (Art. 37, tercer párrafo, RCG), la Notaría se abstiene de formalizar el acto o de continuar la relación cuando: (i) el cliente se niegue a proporcionar la información o documentación necesaria para su identificación (Art. 21 de la Ley, sin responsabilidad alguna); (ii) el Grado de Riesgo resultante sea inaceptable conforme a los criterios del Documento D6-NOT; o (iii) se detecten señales de alerta que el cliente no pueda aclarar razonablemente. Toda abstención, limitación o terminación se documenta y conserva en el expediente.</w:t>
      </w:r>
    </w:p>
    <w:p>
      <w:pPr>
        <w:shd w:fill="1F3864" w:val="clear"/>
        <w:spacing w:after="100" w:before="220"/>
      </w:pPr>
      <w:r>
        <w:rPr>
          <w:rFonts w:ascii="Calibri" w:cs="Calibri" w:eastAsia="Calibri" w:hAnsi="Calibri"/>
          <w:b/>
          <w:bCs/>
          <w:color w:val="FFFFFF"/>
          <w:sz w:val="22"/>
          <w:szCs w:val="22"/>
        </w:rPr>
        <w:t xml:space="preserve">Capítulo 20: Mecanismos Automatizados</w:t>
      </w:r>
    </w:p>
    <w:p>
      <w:pPr>
        <w:spacing w:after="110"/>
      </w:pPr>
      <w:r>
        <w:rPr>
          <w:rFonts w:ascii="Calibri" w:cs="Calibri" w:eastAsia="Calibri" w:hAnsi="Calibri"/>
          <w:sz w:val="20"/>
          <w:szCs w:val="20"/>
        </w:rPr>
        <w:t xml:space="preserve">Conforme al Art. 41 RCG, la Notaría cuenta con mecanismos automatizados —adecuados a su volumen, naturaleza y Riesgo— que permiten: conservar y consultar los expedientes de identificación; agrupar y monitorear los actos u operaciones de cada cliente; alimentar la Metodología EBR; ejecutar el modelo de clasificación de Grado de Riesgo conservando su historial; operar el sistema de alertas; y dar seguimiento al uso de efectivo y metales preciosos. Pueden ser hojas de cálculo o bases de datos siempre que cumplan esas funciones y sean verificables (Art. 3, fr. XI Ter, RCG).</w:t>
      </w:r>
    </w:p>
    <w:p>
      <w:pPr>
        <w:shd w:fill="1F3864" w:val="clear"/>
        <w:spacing w:after="100" w:before="220"/>
      </w:pPr>
      <w:r>
        <w:rPr>
          <w:rFonts w:ascii="Calibri" w:cs="Calibri" w:eastAsia="Calibri" w:hAnsi="Calibri"/>
          <w:b/>
          <w:bCs/>
          <w:color w:val="FFFFFF"/>
          <w:sz w:val="22"/>
          <w:szCs w:val="22"/>
        </w:rPr>
        <w:t xml:space="preserve">Capítulo 21: Selección y Capacitación del Personal</w:t>
      </w:r>
    </w:p>
    <w:p>
      <w:pPr>
        <w:spacing w:after="110"/>
      </w:pPr>
      <w:r>
        <w:rPr>
          <w:rFonts w:ascii="Calibri" w:cs="Calibri" w:eastAsia="Calibri" w:hAnsi="Calibri"/>
          <w:sz w:val="20"/>
          <w:szCs w:val="20"/>
        </w:rPr>
        <w:t xml:space="preserve">La Notaría aplica procedimientos de selección del personal que tenga relación directa con las partes, con declaración firmada conforme al Art. 39 Bis 2 RCG, y lo capacita conforme al Programa Anual del Documento D11-NOT (Art. 39 Bis RCG). La evidencia se conserva por 10 años.</w:t>
      </w:r>
    </w:p>
    <w:p>
      <w:pPr>
        <w:spacing w:after="110"/>
      </w:pPr>
      <w:r>
        <w:rPr>
          <w:rFonts w:ascii="Calibri" w:cs="Calibri" w:eastAsia="Calibri" w:hAnsi="Calibri"/>
          <w:sz w:val="20"/>
          <w:szCs w:val="20"/>
        </w:rPr>
        <w:t xml:space="preserve">Si un funcionario o empleado deja de contar con calidad técnica u honorabilidad (por ejemplo, por sentencia por delito patrimonial o inhabilitación), se le retira de inmediato de las funciones de atención al público, identificación de clientes, envío de Avisos o administración de recursos; se documenta el hecho y se resuelve su situación conforme a la legislación laboral (Art. 39 Bis 2, último párrafo, RCG). Cada empleado actualiza su declaración cuando cambie su situación y, en todo caso, una vez al año (criterio del Programa).</w:t>
      </w:r>
    </w:p>
    <w:p>
      <w:pPr>
        <w:shd w:fill="1F3864" w:val="clear"/>
        <w:spacing w:after="100" w:before="220"/>
      </w:pPr>
      <w:r>
        <w:rPr>
          <w:rFonts w:ascii="Calibri" w:cs="Calibri" w:eastAsia="Calibri" w:hAnsi="Calibri"/>
          <w:b/>
          <w:bCs/>
          <w:color w:val="FFFFFF"/>
          <w:sz w:val="22"/>
          <w:szCs w:val="22"/>
        </w:rPr>
        <w:t xml:space="preserve">Capítulo 22: Sanciones Aplicables</w:t>
      </w:r>
    </w:p>
    <w:p>
      <w:pPr>
        <w:spacing w:after="110"/>
      </w:pPr>
      <w:r>
        <w:rPr>
          <w:rFonts w:ascii="Calibri" w:cs="Calibri" w:eastAsia="Calibri" w:hAnsi="Calibri"/>
          <w:sz w:val="20"/>
          <w:szCs w:val="20"/>
        </w:rPr>
        <w:t xml:space="preserve">Incumplir las obligaciones del artículo 18, o presentar el aviso extemporáneamente dentro de los 30 días siguientes al plazo (Art. 53, fraccs. II y III), se sanciona con 200 a 2,000 UMA (Art. 54, fr. I). La multa por omisión de avisos o por participar en operaciones con efectivo prohibidas (Art. 53, fraccs. VI y VII), conforme al artículo 54, fracción III, va de 10,000 a 65,000 UMA, o del 10% al 100% del valor del acto — lo que resulte mayor. Art. 55: el beneficio de actuación espontánea permite que la Secretaría se abstenga de sancionar por única ocasión o, si ya se ejerció, reduzca hasta 50% las multas.</w:t>
      </w:r>
    </w:p>
    <w:p>
      <w:pPr>
        <w:spacing w:after="110"/>
      </w:pPr>
      <w:r>
        <w:rPr>
          <w:rFonts w:ascii="Calibri" w:cs="Calibri" w:eastAsia="Calibri" w:hAnsi="Calibri"/>
          <w:sz w:val="20"/>
          <w:szCs w:val="20"/>
        </w:rPr>
        <w:t xml:space="preserve">A diferencia del régimen inmobiliario, el incumplimiento notarial puede además activar, conforme al artículo 58, un procedimiento ante la autoridad estatal competente sobre la fe pública cuando la Secretaría determina la existencia de "notorias deficiencias", con las consecuencias que determine la Ley del Notariado aplicable. Ver Documento D0-NOT.</w:t>
      </w:r>
    </w:p>
    <w:p>
      <w:pPr>
        <w:shd w:fill="1F3864" w:val="clear"/>
        <w:spacing w:after="100" w:before="220"/>
      </w:pPr>
      <w:r>
        <w:rPr>
          <w:rFonts w:ascii="Calibri" w:cs="Calibri" w:eastAsia="Calibri" w:hAnsi="Calibri"/>
          <w:b/>
          <w:bCs/>
          <w:color w:val="FFFFFF"/>
          <w:sz w:val="22"/>
          <w:szCs w:val="22"/>
        </w:rPr>
        <w:t xml:space="preserve">Capítulo 23: Actualización del Manual</w:t>
      </w:r>
    </w:p>
    <w:p>
      <w:pPr>
        <w:spacing w:after="110"/>
      </w:pPr>
      <w:r>
        <w:rPr>
          <w:rFonts w:ascii="Calibri" w:cs="Calibri" w:eastAsia="Calibri" w:hAnsi="Calibri"/>
          <w:sz w:val="20"/>
          <w:szCs w:val="20"/>
        </w:rPr>
        <w:t xml:space="preserve">Este Manual se revisa con periodicidad anual y cada vez que se publique una reforma a la LFPIORPI, su Reglamento o las Reglas de Carácter General aplicables.</w:t>
      </w:r>
    </w:p>
    <w:p>
      <w:pPr>
        <w:keepNext/>
        <w:spacing w:after="60" w:before="120"/>
      </w:pPr>
      <w:r>
        <w:rPr>
          <w:rFonts w:ascii="Calibri" w:cs="Calibri" w:eastAsia="Calibri" w:hAnsi="Calibri"/>
          <w:b/>
          <w:bCs/>
          <w:color w:val="0A1628"/>
          <w:sz w:val="19"/>
          <w:szCs w:val="19"/>
        </w:rPr>
        <w:t xml:space="preserve">23.1 Responsable, aprobación, versiones y difusión (Art. 37 Bis, fr. XIV, RCG)</w:t>
      </w:r>
    </w:p>
    <w:p>
      <w:pPr>
        <w:pStyle w:val="ListParagraph"/>
        <w:numPr>
          <w:ilvl w:val="0"/>
          <w:numId w:val="1"/>
        </w:numPr>
        <w:spacing w:after="40"/>
      </w:pPr>
      <w:r>
        <w:rPr>
          <w:rFonts w:ascii="Calibri" w:cs="Calibri" w:eastAsia="Calibri" w:hAnsi="Calibri"/>
          <w:sz w:val="20"/>
          <w:szCs w:val="20"/>
        </w:rPr>
        <w:t xml:space="preserve">Responsable: el Notario Titular propone y redacta las actualizaciones, con el apoyo de Certus Consultores.</w:t>
      </w:r>
    </w:p>
    <w:p>
      <w:pPr>
        <w:pStyle w:val="ListParagraph"/>
        <w:numPr>
          <w:ilvl w:val="0"/>
          <w:numId w:val="1"/>
        </w:numPr>
        <w:spacing w:after="40"/>
      </w:pPr>
      <w:r>
        <w:rPr>
          <w:rFonts w:ascii="Calibri" w:cs="Calibri" w:eastAsia="Calibri" w:hAnsi="Calibri"/>
          <w:sz w:val="20"/>
          <w:szCs w:val="20"/>
        </w:rPr>
        <w:t xml:space="preserve">Aprobación: el Notario Titular aprueba cada versión mediante constancia firmada; la versión rige desde su aprobación.</w:t>
      </w:r>
    </w:p>
    <w:p>
      <w:pPr>
        <w:pStyle w:val="ListParagraph"/>
        <w:numPr>
          <w:ilvl w:val="0"/>
          <w:numId w:val="1"/>
        </w:numPr>
        <w:spacing w:after="40"/>
      </w:pPr>
      <w:r>
        <w:rPr>
          <w:rFonts w:ascii="Calibri" w:cs="Calibri" w:eastAsia="Calibri" w:hAnsi="Calibri"/>
          <w:sz w:val="20"/>
          <w:szCs w:val="20"/>
        </w:rPr>
        <w:t xml:space="preserve">Control de versiones: el Anexo D registra el número de versión, la fecha de aprobación, los cambios y quién aprobó. Las versiones anteriores se conservan durante el plazo de conservación de este Manual.</w:t>
      </w:r>
    </w:p>
    <w:p>
      <w:pPr>
        <w:pStyle w:val="ListParagraph"/>
        <w:numPr>
          <w:ilvl w:val="0"/>
          <w:numId w:val="1"/>
        </w:numPr>
        <w:spacing w:after="40"/>
      </w:pPr>
      <w:r>
        <w:rPr>
          <w:rFonts w:ascii="Calibri" w:cs="Calibri" w:eastAsia="Calibri" w:hAnsi="Calibri"/>
          <w:sz w:val="20"/>
          <w:szCs w:val="20"/>
        </w:rPr>
        <w:t xml:space="preserve">Difusión: dentro de los diez días hábiles siguientes a la aprobación, la versión vigente se entrega al personal sujeto a capacitación, que firma el acuse de recepción del Anexo D. Su contenido forma parte de la capacitación anual (Art. 39 Bis, fr. I, inciso b), RCG).</w:t>
      </w:r>
    </w:p>
    <w:p>
      <w:pPr>
        <w:pStyle w:val="ListParagraph"/>
        <w:numPr>
          <w:ilvl w:val="0"/>
          <w:numId w:val="1"/>
        </w:numPr>
        <w:spacing w:after="40"/>
      </w:pPr>
      <w:r>
        <w:rPr>
          <w:rFonts w:ascii="Calibri" w:cs="Calibri" w:eastAsia="Calibri" w:hAnsi="Calibri"/>
          <w:sz w:val="20"/>
          <w:szCs w:val="20"/>
        </w:rPr>
        <w:t xml:space="preserve">Detonantes de actualización: revisión anual; reformas a la Ley, su Reglamento o las RCG; cambios en las actividades u operación (Anexo C); resultados de la metodología de evaluación de Riesgos (Art. 10 Septies 2); hallazgos de supervisión o auditoría; y requerimientos de la autoridad.</w:t>
      </w:r>
    </w:p>
    <w:p>
      <w:pPr>
        <w:pStyle w:val="ListParagraph"/>
        <w:numPr>
          <w:ilvl w:val="0"/>
          <w:numId w:val="1"/>
        </w:numPr>
        <w:spacing w:after="40"/>
      </w:pPr>
      <w:r>
        <w:rPr>
          <w:rFonts w:ascii="Calibri" w:cs="Calibri" w:eastAsia="Calibri" w:hAnsi="Calibri"/>
          <w:sz w:val="20"/>
          <w:szCs w:val="20"/>
        </w:rPr>
        <w:t xml:space="preserve">Modificaciones ordenadas por el SAT (Art. 37 Bis 3 RCG): el Notario Titular registra el requerimiento, prepara la modificación del Manual o de los documentos señalados dentro del plazo que fije la autoridad, la somete a aprobación, la difunde y conserva la evidencia de su atención.</w:t>
      </w:r>
    </w:p>
    <w:p>
      <w:pPr>
        <w:shd w:fill="1F3864" w:val="clear"/>
        <w:spacing w:after="100" w:before="220"/>
      </w:pPr>
      <w:r>
        <w:rPr>
          <w:rFonts w:ascii="Calibri" w:cs="Calibri" w:eastAsia="Calibri" w:hAnsi="Calibri"/>
          <w:b/>
          <w:bCs/>
          <w:color w:val="FFFFFF"/>
          <w:sz w:val="22"/>
          <w:szCs w:val="22"/>
        </w:rPr>
        <w:t xml:space="preserve">Capítulo 24: Glosario</w:t>
      </w:r>
    </w:p>
    <w:p>
      <w:pPr>
        <w:pStyle w:val="ListParagraph"/>
        <w:numPr>
          <w:ilvl w:val="0"/>
          <w:numId w:val="1"/>
        </w:numPr>
        <w:spacing w:after="40"/>
      </w:pPr>
      <w:r>
        <w:rPr>
          <w:rFonts w:ascii="Calibri" w:cs="Calibri" w:eastAsia="Calibri" w:hAnsi="Calibri"/>
          <w:sz w:val="20"/>
          <w:szCs w:val="20"/>
        </w:rPr>
        <w:t xml:space="preserve">LFPIORPI: Ley Federal para la Prevención e Identificación de Operaciones con Recursos de Procedencia Ilícita.</w:t>
      </w:r>
    </w:p>
    <w:p>
      <w:pPr>
        <w:pStyle w:val="ListParagraph"/>
        <w:numPr>
          <w:ilvl w:val="0"/>
          <w:numId w:val="1"/>
        </w:numPr>
        <w:spacing w:after="40"/>
      </w:pPr>
      <w:r>
        <w:rPr>
          <w:rFonts w:ascii="Calibri" w:cs="Calibri" w:eastAsia="Calibri" w:hAnsi="Calibri"/>
          <w:sz w:val="20"/>
          <w:szCs w:val="20"/>
        </w:rPr>
        <w:t xml:space="preserve">UMA: Unidad de Medida y Actualización.</w:t>
      </w:r>
    </w:p>
    <w:p>
      <w:pPr>
        <w:pStyle w:val="ListParagraph"/>
        <w:numPr>
          <w:ilvl w:val="0"/>
          <w:numId w:val="1"/>
        </w:numPr>
        <w:spacing w:after="40"/>
      </w:pPr>
      <w:r>
        <w:rPr>
          <w:rFonts w:ascii="Calibri" w:cs="Calibri" w:eastAsia="Calibri" w:hAnsi="Calibri"/>
          <w:sz w:val="20"/>
          <w:szCs w:val="20"/>
        </w:rPr>
        <w:t xml:space="preserve">PLD/FT: Prevención de Lavado de Dinero y Financiamiento al Terrorismo.</w:t>
      </w:r>
    </w:p>
    <w:p>
      <w:pPr>
        <w:pStyle w:val="ListParagraph"/>
        <w:numPr>
          <w:ilvl w:val="0"/>
          <w:numId w:val="1"/>
        </w:numPr>
        <w:spacing w:after="40"/>
      </w:pPr>
      <w:r>
        <w:rPr>
          <w:rFonts w:ascii="Calibri" w:cs="Calibri" w:eastAsia="Calibri" w:hAnsi="Calibri"/>
          <w:sz w:val="20"/>
          <w:szCs w:val="20"/>
        </w:rPr>
        <w:t xml:space="preserve">Beneficiario Controlador: persona física que en última instancia obtiene el beneficio o ejerce el control efectivo del acto u operación.</w:t>
      </w:r>
    </w:p>
    <w:p>
      <w:pPr>
        <w:pStyle w:val="ListParagraph"/>
        <w:numPr>
          <w:ilvl w:val="0"/>
          <w:numId w:val="1"/>
        </w:numPr>
        <w:spacing w:after="40"/>
      </w:pPr>
      <w:r>
        <w:rPr>
          <w:rFonts w:ascii="Calibri" w:cs="Calibri" w:eastAsia="Calibri" w:hAnsi="Calibri"/>
          <w:sz w:val="20"/>
          <w:szCs w:val="20"/>
        </w:rPr>
        <w:t xml:space="preserve">SPPLD: Sistema/Portal de Prevención de Lavado de Dinero del SAT.</w:t>
      </w:r>
    </w:p>
    <w:p/>
    <w:p>
      <w:pPr>
        <w:keepNext/>
        <w:pageBreakBefore/>
        <w:shd w:fill="1F3864" w:val="clear"/>
        <w:spacing w:after="100" w:before="220"/>
      </w:pPr>
      <w:r>
        <w:rPr>
          <w:rFonts w:ascii="Calibri" w:cs="Calibri" w:eastAsia="Calibri" w:hAnsi="Calibri"/>
          <w:b/>
          <w:bCs/>
          <w:color w:val="FFFFFF"/>
          <w:sz w:val="22"/>
          <w:szCs w:val="22"/>
        </w:rPr>
        <w:t xml:space="preserve">Anexo A. Correspondencia con el contenido mínimo del Manual (Arts. 37 y 37 Bis RCG)</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900"/>
        <w:gridCol w:w="2200"/>
        <w:gridCol w:w="2500"/>
      </w:tblGrid>
      <w:tr>
        <w:trPr>
          <w:tblHeader/>
        </w:trPr>
        <w:tc>
          <w:tcPr>
            <w:tcW w:type="dxa" w:w="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Fracc.</w:t>
            </w:r>
          </w:p>
        </w:tc>
        <w:tc>
          <w:tcPr>
            <w:tcW w:type="dxa" w:w="3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Contenido mínimo</w:t>
            </w:r>
          </w:p>
        </w:tc>
        <w:tc>
          <w:tcPr>
            <w:tcW w:type="dxa" w:w="2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Capítulo de este Manual</w:t>
            </w:r>
          </w:p>
        </w:tc>
        <w:tc>
          <w:tcPr>
            <w:tcW w:type="dxa" w:w="25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Documento del Programa</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y conocimiento de Clientes o Usuarias, incluido el Beneficiario Controlador</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4, 4.2, 6 y 17</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D7-NOT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Mecanismos de clasificación de Riesgo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y 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Debida diligencia según el Grado de Riesgo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5.2 a 5.4; Anexo B</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D6-NOT, D7-NOT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y seguimiento reforzado de PEP</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6 y 6.1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D8-NOT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Detección de desviaciones del Perfil Transaccional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13, 13.1 y 13.2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D9-NOT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Presentación de Avisos e Informes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7, 9 y 9.1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D9-NOT, D12-NOT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Conservación de información y documentación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10 y 10.1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D10-NOT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Seguimiento y acumulación de actos (incisos a), c) y d))</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14</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D12-NOT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IX</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de personas en listas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15 y 15.1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Funciones y responsabilidades (ejercidas personalmente por el Notario Titular, Art. 20, último párrafo, de la Ley)</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3.1 a 3.3</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D2-NOT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Programas de capacitación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11, 11.1 y 21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D11-NOT, D11B-NOT, D11C-NOT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Control interno, supervisión y auditoría</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12, 12.1 y 20</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D13-NOT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Confidencialidad de la información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16 y 16.1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Actualización del Manual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23 y 23.1; Anexo D</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37, 3er párr.</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Apertura, limitación y terminación de relaciones comerciales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19</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1</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Grupo Empresarial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No aplica (persona física)</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2</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Supuestos que no se realizan (exención)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3</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Modificaciones ordenadas por el SAT</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23.1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10 Septies</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Diseño de la metodología de evaluación de Riesgos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y 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17</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Criterios de Riesgo bajo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5.2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D6-NOT</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18</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Actos u operaciones por medios electrónicos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39 Bis 2</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Selección de personal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Arts. 13 y 13 Bis</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Solicitante material; fe pública al Poder Judicial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17 y 18</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D7-NOT</w:t>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B. Cuestionario de Identificación Reforzada (Arts. 23 Ter 3 y 23 Ter 4 RCG)</w:t>
      </w:r>
    </w:p>
    <w:p>
      <w:pPr>
        <w:spacing w:after="110"/>
      </w:pPr>
      <w:r>
        <w:rPr>
          <w:rFonts w:ascii="Calibri" w:cs="Calibri" w:eastAsia="Calibri" w:hAnsi="Calibri"/>
          <w:i/>
          <w:iCs/>
          <w:color w:val="666666"/>
          <w:sz w:val="19"/>
          <w:szCs w:val="19"/>
        </w:rPr>
        <w:t xml:space="preserve">Se aplica a Clientes o Usuarias de Riesgo alto al alta y en cada reevaluación. Puede llenarse a distancia, siempre con la Firma Electrónica de quien lo suscribe. Se integra al expediente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tblHeader/>
        </w:trPr>
        <w:tc>
          <w:tcPr>
            <w:tcW w:type="dxa" w:w="4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Rubro</w:t>
            </w:r>
          </w:p>
        </w:tc>
        <w:tc>
          <w:tcPr>
            <w:tcW w:type="dxa" w:w="5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Respuesta del Cliente o Usuaria</w:t>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Nombre, denominación o razón social; RFC / CURP</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Actividad, ocupación o giro preponderante; empleador o principales clientes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Ingresos o ventas anuales aproximados y su fuente</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Origen de los recursos para este acto u operación (ahorro, venta de bien, crédito, utilidades, herencia, otro) y documento que lo soporta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Cuentas e instituciones financieras de donde provienen los recursos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Destino de los recursos o del bien (uso propio, inversión, reventa, arrendamiento, otro)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Actos u operaciones que estima realizar: número, frecuencia y monto máximo mensual</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Terceros que pagarán o recibirán recursos y su relación con el cliente</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Personas físicas: cónyuge y dependientes económicos (nombre, fecha de nacimiento, nacionalidad, CURP o RFC)</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Sociedades o asociaciones con vínculos patrimoniales (denominación, RFC, % de participación)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Personas morales: principales accionistas o socios y Beneficiario Controlador (nombre, % de participación)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¿Es o ha sido PEP, o es cónyuge, pariente hasta el segundo grado o socio de una PEP? Cargo y periodo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No residentes: razones para realizar el acto u operación en México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Declaro bajo protesta de decir verdad que la información es correcta y que los recursos son de procedencia lícita. Firma autógrafa o Firma Electrónica y fecha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Revisó (nombre, firma y fecha) y conclusión: [ ] Se acepta  [ ] Se acepta con medidas adicionales  [ ] No se acepta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C. Descripción Operativa</w:t>
      </w:r>
    </w:p>
    <w:p>
      <w:pPr>
        <w:spacing w:after="110"/>
      </w:pPr>
      <w:r>
        <w:rPr>
          <w:rFonts w:ascii="Calibri" w:cs="Calibri" w:eastAsia="Calibri" w:hAnsi="Calibri"/>
          <w:i/>
          <w:iCs/>
          <w:color w:val="666666"/>
          <w:sz w:val="19"/>
          <w:szCs w:val="19"/>
        </w:rPr>
        <w:t xml:space="preserve">Se llena antes de adoptar el Manual y se actualiza cada vez que cambie la operación. Lo firma el Notario Titular. Su objeto es que este Manual refleje la forma en que la Notaría realmente opera.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tblHeader/>
        </w:trPr>
        <w:tc>
          <w:tcPr>
            <w:tcW w:type="dxa" w:w="4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Concepto</w:t>
            </w:r>
          </w:p>
        </w:tc>
        <w:tc>
          <w:tcPr>
            <w:tcW w:type="dxa" w:w="5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Descripción</w:t>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Actividades que se realizan (fracciones o incisos del Art. 17)</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Oficinas, sucursales o plazas donde se opera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Áreas que intervienen y número de personas en cada una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Canales de captación y de formalización (presencial, intermediarios, medios electrónicos)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Volumen anual aproximado: clientes, actos u operaciones y monto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Formas de pago que se aceptan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Sistemas o herramientas para expedientes, alertas y control de Avisos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Responsable del cumplimiento, suplente y personas autorizadas para acceder a expedientes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Flujo del acto u operación: 1) captación → 2) identificación y expediente → 3) clasificación de Riesgo y consulta de listas/PEP → 4) verificación previa → 5) formalización y recepción de recursos → 6) Aviso o informe y resguardo (responsable de cada paso)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D. Control de versiones y acuse de difusión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4100"/>
        <w:gridCol w:w="2200"/>
      </w:tblGrid>
      <w:tr>
        <w:trPr>
          <w:tblHeader/>
        </w:trPr>
        <w:tc>
          <w:tcPr>
            <w:tcW w:type="dxa" w:w="1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Versión</w:t>
            </w:r>
          </w:p>
        </w:tc>
        <w:tc>
          <w:tcPr>
            <w:tcW w:type="dxa" w:w="1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Fecha de aprobación</w:t>
            </w:r>
          </w:p>
        </w:tc>
        <w:tc>
          <w:tcPr>
            <w:tcW w:type="dxa" w:w="41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Cambios</w:t>
            </w:r>
          </w:p>
        </w:tc>
        <w:tc>
          <w:tcPr>
            <w:tcW w:type="dxa" w:w="2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Aprobó</w:t>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[VERSION]</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[Fecha de adopción]</w:t>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Adopción inicial — plantilla Certus PLD, edición octubre 2026 (Acuerdo 115/2026; Capítulo X RCG)</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spacing w:after="110"/>
      </w:pPr>
      <w:r>
        <w:rPr>
          <w:rFonts w:ascii="Calibri" w:cs="Calibri" w:eastAsia="Calibri" w:hAnsi="Calibri"/>
          <w:sz w:val="20"/>
          <w:szCs w:val="20"/>
        </w:rPr>
        <w:t xml:space="preserve">Acuse de recepción y lectura. Las personas abajo firmantes recibimos la versión vigente de este Manual, la leímos y nos comprometemos a cumplirla: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600"/>
        <w:gridCol w:w="1600"/>
        <w:gridCol w:w="2000"/>
      </w:tblGrid>
      <w:tr>
        <w:trPr>
          <w:tblHeader/>
        </w:trPr>
        <w:tc>
          <w:tcPr>
            <w:tcW w:type="dxa" w:w="3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Nombre completo</w:t>
            </w:r>
          </w:p>
        </w:tc>
        <w:tc>
          <w:tcPr>
            <w:tcW w:type="dxa" w:w="2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Puesto</w:t>
            </w:r>
          </w:p>
        </w:tc>
        <w:tc>
          <w:tcPr>
            <w:tcW w:type="dxa" w:w="1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Fecha</w:t>
            </w:r>
          </w:p>
        </w:tc>
        <w:tc>
          <w:tcPr>
            <w:tcW w:type="dxa" w:w="20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Firma</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2026-09-09T01:37:42.627Z</dcterms:created>
  <dcterms:modified xsi:type="dcterms:W3CDTF">2026-09-09T01:37:42.627Z</dcterms:modified>
</cp:coreProperties>
</file>

<file path=docProps/custom.xml><?xml version="1.0" encoding="utf-8"?>
<Properties xmlns="http://schemas.openxmlformats.org/officeDocument/2006/custom-properties" xmlns:vt="http://schemas.openxmlformats.org/officeDocument/2006/docPropsVTypes"/>
</file>