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none"/>
              <w:left w:val="none"/>
              <w:bottom w:val="none"/>
              <w:right w:val="none"/>
            </w:tcBorders>
            <w:tcMar>
              <w:top w:type="dxa" w:w="60"/>
              <w:left w:type="dxa" w:w="100"/>
              <w:bottom w:type="dxa" w:w="60"/>
              <w:right w:type="dxa" w:w="100"/>
            </w:tcMar>
            <w:vAlign w:val="center"/>
          </w:tcPr>
          <w:p>
            <w:r>
              <w:rPr>
                <w:rFonts w:ascii="Calibri" w:cs="Calibri" w:eastAsia="Calibri" w:hAnsi="Calibri"/>
                <w:b/>
                <w:bCs/>
                <w:color w:val="1F3864"/>
                <w:sz w:val="24"/>
                <w:szCs w:val="24"/>
              </w:rPr>
              <w:t xml:space="preserve">CERTUS PLD</w:t>
            </w:r>
            <w:r>
              <w:rPr>
                <w:rFonts w:ascii="Calibri" w:cs="Calibri" w:eastAsia="Calibri" w:hAnsi="Calibri"/>
                <w:sz w:val="22"/>
                <w:szCs w:val="22"/>
              </w:rPr>
              <w:t xml:space="preserve">   │   </w:t>
            </w:r>
            <w:r>
              <w:rPr>
                <w:rFonts w:ascii="Calibri" w:cs="Calibri" w:eastAsia="Calibri" w:hAnsi="Calibri"/>
                <w:b/>
                <w:bCs/>
                <w:sz w:val="20"/>
                <w:szCs w:val="20"/>
              </w:rPr>
              <w:t xml:space="preserve">D5-PROF Manual de Políticas Internas PLD/FT — Servicios Profesionales</w:t>
            </w:r>
          </w:p>
          <w:p>
            <w:pPr>
              <w:spacing w:before="60"/>
            </w:pPr>
            <w:r>
              <w:rPr>
                <w:rFonts w:ascii="Calibri" w:cs="Calibri" w:eastAsia="Calibri" w:hAnsi="Calibri"/>
                <w:sz w:val="18"/>
                <w:szCs w:val="18"/>
              </w:rPr>
              <w:t xml:space="preserve">Profesional / Despacho: [Nombre]   │   Variante: Servicios Profesionales — Fracción XI LFPIORPI</w:t>
            </w:r>
          </w:p>
        </w:tc>
      </w:tr>
    </w:tbl>
    <w:p>
      <w:pPr>
        <w:spacing w:after="100"/>
      </w:pPr>
      <w:r>
        <w:rPr>
          <w:rFonts w:ascii="Calibri" w:cs="Calibri" w:eastAsia="Calibri" w:hAnsi="Calibri"/>
          <w:sz w:val="21"/>
          <w:szCs w:val="21"/>
        </w:rP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c>
          <w:tcPr>
            <w:tcW w:type="dxa" w:w="3200"/>
            <w:tcMar>
              <w:top w:type="dxa" w:w="60"/>
              <w:left w:type="dxa" w:w="100"/>
              <w:bottom w:type="dxa" w:w="60"/>
              <w:right w:type="dxa" w:w="100"/>
            </w:tcMar>
            <w:vAlign w:val="center"/>
          </w:tcPr>
          <w:p>
            <w:pPr>
              <w:spacing w:after="0"/>
            </w:pPr>
            <w:r>
              <w:rPr>
                <w:rFonts w:ascii="Calibri" w:cs="Calibri" w:eastAsia="Calibri" w:hAnsi="Calibri"/>
                <w:b/>
                <w:bCs/>
                <w:sz w:val="21"/>
                <w:szCs w:val="21"/>
              </w:rPr>
              <w:t xml:space="preserve">Profesional / Despacho:</w:t>
            </w:r>
          </w:p>
        </w:tc>
        <w:tc>
          <w:tcPr>
            <w:tcW w:type="dxa" w:w="6300"/>
            <w:tcMar>
              <w:top w:type="dxa" w:w="60"/>
              <w:left w:type="dxa" w:w="100"/>
              <w:bottom w:type="dxa" w:w="60"/>
              <w:right w:type="dxa" w:w="100"/>
            </w:tcMar>
            <w:vAlign w:val="center"/>
          </w:tcPr>
          <w:p>
            <w:pPr>
              <w:spacing w:after="0"/>
            </w:pPr>
            <w:r>
              <w:rPr>
                <w:rFonts w:ascii="Calibri" w:cs="Calibri" w:eastAsia="Calibri" w:hAnsi="Calibri"/>
                <w:sz w:val="21"/>
                <w:szCs w:val="21"/>
              </w:rPr>
              <w:t xml:space="preserve">[Nombre]</w:t>
            </w:r>
          </w:p>
        </w:tc>
      </w:tr>
      <w:tr>
        <w:tc>
          <w:tcPr>
            <w:tcW w:type="dxa" w:w="3200"/>
            <w:tcMar>
              <w:top w:type="dxa" w:w="60"/>
              <w:left w:type="dxa" w:w="100"/>
              <w:bottom w:type="dxa" w:w="60"/>
              <w:right w:type="dxa" w:w="100"/>
            </w:tcMar>
            <w:vAlign w:val="center"/>
          </w:tcPr>
          <w:p>
            <w:pPr>
              <w:spacing w:after="0"/>
            </w:pPr>
            <w:r>
              <w:rPr>
                <w:rFonts w:ascii="Calibri" w:cs="Calibri" w:eastAsia="Calibri" w:hAnsi="Calibri"/>
                <w:b/>
                <w:bCs/>
                <w:sz w:val="21"/>
                <w:szCs w:val="21"/>
              </w:rPr>
              <w:t xml:space="preserve">RFC:</w:t>
            </w:r>
          </w:p>
        </w:tc>
        <w:tc>
          <w:tcPr>
            <w:tcW w:type="dxa" w:w="6300"/>
            <w:tcMar>
              <w:top w:type="dxa" w:w="60"/>
              <w:left w:type="dxa" w:w="100"/>
              <w:bottom w:type="dxa" w:w="60"/>
              <w:right w:type="dxa" w:w="100"/>
            </w:tcMar>
            <w:vAlign w:val="center"/>
          </w:tcPr>
          <w:p>
            <w:pPr>
              <w:spacing w:after="0"/>
            </w:pPr>
            <w:r>
              <w:rPr>
                <w:rFonts w:ascii="Calibri" w:cs="Calibri" w:eastAsia="Calibri" w:hAnsi="Calibri"/>
                <w:sz w:val="21"/>
                <w:szCs w:val="21"/>
              </w:rPr>
              <w:t xml:space="preserve">[RFC]</w:t>
            </w:r>
          </w:p>
        </w:tc>
      </w:tr>
      <w:tr>
        <w:tc>
          <w:tcPr>
            <w:tcW w:type="dxa" w:w="3200"/>
            <w:tcMar>
              <w:top w:type="dxa" w:w="60"/>
              <w:left w:type="dxa" w:w="100"/>
              <w:bottom w:type="dxa" w:w="60"/>
              <w:right w:type="dxa" w:w="100"/>
            </w:tcMar>
            <w:vAlign w:val="center"/>
          </w:tcPr>
          <w:p>
            <w:pPr>
              <w:spacing w:after="0"/>
            </w:pPr>
            <w:r>
              <w:rPr>
                <w:rFonts w:ascii="Calibri" w:cs="Calibri" w:eastAsia="Calibri" w:hAnsi="Calibri"/>
                <w:b/>
                <w:bCs/>
                <w:sz w:val="21"/>
                <w:szCs w:val="21"/>
              </w:rPr>
              <w:t xml:space="preserve">Versión:</w:t>
            </w:r>
          </w:p>
        </w:tc>
        <w:tc>
          <w:tcPr>
            <w:tcW w:type="dxa" w:w="6300"/>
            <w:tcMar>
              <w:top w:type="dxa" w:w="60"/>
              <w:left w:type="dxa" w:w="100"/>
              <w:bottom w:type="dxa" w:w="60"/>
              <w:right w:type="dxa" w:w="100"/>
            </w:tcMar>
            <w:vAlign w:val="center"/>
          </w:tcPr>
          <w:p>
            <w:pPr>
              <w:spacing w:after="0"/>
            </w:pPr>
            <w:r>
              <w:rPr>
                <w:rFonts w:ascii="Calibri" w:cs="Calibri" w:eastAsia="Calibri" w:hAnsi="Calibri"/>
                <w:sz w:val="21"/>
                <w:szCs w:val="21"/>
              </w:rPr>
              <w:t xml:space="preserve">[VERSION] — [Fecha de adopción] │ Plantilla Certus PLD, edición octubre 2026 (Acuerdo 115/2026; Capítulo X RCG)</w:t>
            </w:r>
          </w:p>
        </w:tc>
      </w:tr>
      <w:tr>
        <w:tc>
          <w:tcPr>
            <w:tcW w:type="dxa" w:w="3200"/>
            <w:tcMar>
              <w:top w:type="dxa" w:w="60"/>
              <w:left w:type="dxa" w:w="100"/>
              <w:bottom w:type="dxa" w:w="60"/>
              <w:right w:type="dxa" w:w="100"/>
            </w:tcMar>
            <w:vAlign w:val="center"/>
          </w:tcPr>
          <w:p>
            <w:pPr>
              <w:spacing w:after="0"/>
            </w:pPr>
            <w:r>
              <w:rPr>
                <w:rFonts w:ascii="Calibri" w:cs="Calibri" w:eastAsia="Calibri" w:hAnsi="Calibri"/>
                <w:b/>
                <w:bCs/>
                <w:sz w:val="21"/>
                <w:szCs w:val="21"/>
              </w:rPr>
              <w:t xml:space="preserve">Aprobó:</w:t>
            </w:r>
          </w:p>
        </w:tc>
        <w:tc>
          <w:tcPr>
            <w:tcW w:type="dxa" w:w="6300"/>
            <w:tcMar>
              <w:top w:type="dxa" w:w="60"/>
              <w:left w:type="dxa" w:w="100"/>
              <w:bottom w:type="dxa" w:w="60"/>
              <w:right w:type="dxa" w:w="100"/>
            </w:tcMar>
            <w:vAlign w:val="center"/>
          </w:tcPr>
          <w:p>
            <w:pPr>
              <w:spacing w:after="0"/>
            </w:pPr>
            <w:r>
              <w:rPr>
                <w:rFonts w:ascii="Calibri" w:cs="Calibri" w:eastAsia="Calibri" w:hAnsi="Calibri"/>
                <w:sz w:val="21"/>
                <w:szCs w:val="21"/>
              </w:rPr>
              <w:t xml:space="preserve">[Profesional Titular / Órgano de administración]</w:t>
            </w:r>
          </w:p>
        </w:tc>
      </w:tr>
      <w:tr>
        <w:tc>
          <w:tcPr>
            <w:tcW w:type="dxa" w:w="3200"/>
            <w:tcMar>
              <w:top w:type="dxa" w:w="60"/>
              <w:left w:type="dxa" w:w="100"/>
              <w:bottom w:type="dxa" w:w="60"/>
              <w:right w:type="dxa" w:w="100"/>
            </w:tcMar>
            <w:vAlign w:val="center"/>
          </w:tcPr>
          <w:p>
            <w:pPr>
              <w:spacing w:after="0"/>
            </w:pPr>
            <w:r>
              <w:rPr>
                <w:rFonts w:ascii="Calibri" w:cs="Calibri" w:eastAsia="Calibri" w:hAnsi="Calibri"/>
                <w:b/>
                <w:bCs/>
                <w:sz w:val="21"/>
                <w:szCs w:val="21"/>
              </w:rPr>
              <w:t xml:space="preserve">Elaboró:</w:t>
            </w:r>
          </w:p>
        </w:tc>
        <w:tc>
          <w:tcPr>
            <w:tcW w:type="dxa" w:w="6300"/>
            <w:tcMar>
              <w:top w:type="dxa" w:w="60"/>
              <w:left w:type="dxa" w:w="100"/>
              <w:bottom w:type="dxa" w:w="60"/>
              <w:right w:type="dxa" w:w="100"/>
            </w:tcMar>
            <w:vAlign w:val="center"/>
          </w:tcPr>
          <w:p>
            <w:pPr>
              <w:spacing w:after="0"/>
            </w:pPr>
            <w:r>
              <w:rPr>
                <w:rFonts w:ascii="Calibri" w:cs="Calibri" w:eastAsia="Calibri" w:hAnsi="Calibri"/>
                <w:sz w:val="21"/>
                <w:szCs w:val="21"/>
              </w:rPr>
              <w:t xml:space="preserve">Certus Consultores │ Certus PLD</w:t>
            </w:r>
          </w:p>
        </w:tc>
      </w:tr>
      <w:tr>
        <w:tc>
          <w:tcPr>
            <w:tcW w:type="dxa" w:w="3200"/>
            <w:tcMar>
              <w:top w:type="dxa" w:w="60"/>
              <w:left w:type="dxa" w:w="100"/>
              <w:bottom w:type="dxa" w:w="60"/>
              <w:right w:type="dxa" w:w="100"/>
            </w:tcMar>
            <w:vAlign w:val="center"/>
          </w:tcPr>
          <w:p>
            <w:pPr>
              <w:spacing w:after="0"/>
            </w:pPr>
            <w:r>
              <w:rPr>
                <w:rFonts w:ascii="Calibri" w:cs="Calibri" w:eastAsia="Calibri" w:hAnsi="Calibri"/>
                <w:b/>
                <w:bCs/>
                <w:sz w:val="21"/>
                <w:szCs w:val="21"/>
              </w:rPr>
              <w:t xml:space="preserve">Vigencia:</w:t>
            </w:r>
          </w:p>
        </w:tc>
        <w:tc>
          <w:tcPr>
            <w:tcW w:type="dxa" w:w="6300"/>
            <w:tcMar>
              <w:top w:type="dxa" w:w="60"/>
              <w:left w:type="dxa" w:w="100"/>
              <w:bottom w:type="dxa" w:w="60"/>
              <w:right w:type="dxa" w:w="100"/>
            </w:tcMar>
            <w:vAlign w:val="center"/>
          </w:tcPr>
          <w:p>
            <w:pPr>
              <w:spacing w:after="0"/>
            </w:pPr>
            <w:r>
              <w:rPr>
                <w:rFonts w:ascii="Calibri" w:cs="Calibri" w:eastAsia="Calibri" w:hAnsi="Calibri"/>
                <w:sz w:val="21"/>
                <w:szCs w:val="21"/>
              </w:rPr>
              <w:t xml:space="preserve">Un año — revisión anual obligatoria</w:t>
            </w:r>
          </w:p>
        </w:tc>
      </w:tr>
    </w:tbl>
    <w:p>
      <w:pPr>
        <w:spacing w:after="110"/>
      </w:pPr>
      <w:r>
        <w:rPr>
          <w:rFonts w:ascii="Calibri" w:cs="Calibri" w:eastAsia="Calibri" w:hAnsi="Calibri"/>
          <w:i/>
          <w:iCs/>
          <w:sz w:val="19"/>
          <w:szCs w:val="19"/>
        </w:rPr>
        <w:t xml:space="preserve">Índice: 1. Introducción y marco normativo │ 2. Objeto y alcance │ 3. Organización y responsabilidades │ 4. Identificación y KYC │ 5. Enfoque Basado en Riesgo (EBR) │ 6. PEP's y Beneficiario Controlador │ 7. Operaciones inusuales │ 8. Restricción de pagos en efectivo │ 9. Presentación de avisos │ 10. Resguardo documental │ 11. Capacitación │ 12. Auditoría interna │ 13. Perfil transaccional y alertas │ 14. Seguimiento y reevaluación │ 15. Listas de autoridades │ 16. Confidencialidad │ 17. Criterios de aceptación y terminación │ 18. Mecanismos automatizados │ 19. Selección y capacitación del personal │ 20. Alcance y secreto profesional │ 21. Calendario de entrada en vigor │ 22. Sanciones aplicables │ 23. Actualización │ 24. Glosario</w:t>
      </w:r>
      <w:r>
        <w:rPr>
          <w:rFonts w:ascii="Calibri" w:cs="Calibri" w:eastAsia="Calibri" w:hAnsi="Calibri"/>
          <w:i/>
          <w:iCs/>
          <w:sz w:val="19"/>
          <w:szCs w:val="19"/>
        </w:rPr>
        <w:t xml:space="preserve"> │ Anexos: A. Correspondencia con el Art. 37 Bis │ B. Cuestionario de Identificación Reforzada │ C. Descripción Operativa │ D. Control de versiones y difusión</w:t>
      </w:r>
    </w:p>
    <w:p>
      <w:pPr>
        <w:shd w:fill="1F3864" w:val="clear"/>
        <w:spacing w:after="100" w:before="220"/>
      </w:pPr>
      <w:r>
        <w:rPr>
          <w:rFonts w:ascii="Calibri" w:cs="Calibri" w:eastAsia="Calibri" w:hAnsi="Calibri"/>
          <w:b/>
          <w:bCs/>
          <w:color w:val="FFFFFF"/>
          <w:sz w:val="22"/>
          <w:szCs w:val="22"/>
        </w:rPr>
        <w:t xml:space="preserve">Capítulo 1: Introducción y Marco Normativo</w:t>
      </w:r>
    </w:p>
    <w:p>
      <w:pPr>
        <w:spacing w:after="110"/>
      </w:pPr>
      <w:r>
        <w:rPr>
          <w:rFonts w:ascii="Calibri" w:cs="Calibri" w:eastAsia="Calibri" w:hAnsi="Calibri"/>
          <w:sz w:val="21"/>
          <w:szCs w:val="21"/>
        </w:rPr>
        <w:t xml:space="preserve">El presente Manual de Políticas Internas en materia PLD/FT (Art. 2, fr. XI Bis, y Capítulo X RCG) es adoptado por el profesional o despacho en cumplimiento de las obligaciones establecidas en la LFPIORPI y su Reglamento reformado, diseñado específicamente para prestadores de servicios profesionales sujetos a la Fracción XI del artículo 17.</w:t>
      </w:r>
    </w:p>
    <w:p>
      <w:pPr>
        <w:spacing w:after="90" w:before="150"/>
      </w:pPr>
      <w:r>
        <w:rPr>
          <w:rFonts w:ascii="Calibri" w:cs="Calibri" w:eastAsia="Calibri" w:hAnsi="Calibri"/>
          <w:b/>
          <w:bCs/>
          <w:sz w:val="21"/>
          <w:szCs w:val="21"/>
        </w:rPr>
        <w:t xml:space="preserve">1.1 Base legal</w:t>
      </w:r>
    </w:p>
    <w:p>
      <w:pPr>
        <w:spacing w:after="70"/>
      </w:pPr>
      <w:r>
        <w:rPr>
          <w:rFonts w:ascii="Calibri" w:cs="Calibri" w:eastAsia="Calibri" w:hAnsi="Calibri"/>
          <w:sz w:val="21"/>
          <w:szCs w:val="21"/>
        </w:rPr>
        <w:t xml:space="preserve">• LFPIORPI — la Fracción XI no fue objeto de la reforma DOF 16/07/2025 y conserva su redacción previa</w:t>
      </w:r>
    </w:p>
    <w:p>
      <w:pPr>
        <w:spacing w:after="70"/>
      </w:pPr>
      <w:r>
        <w:rPr>
          <w:rFonts w:ascii="Calibri" w:cs="Calibri" w:eastAsia="Calibri" w:hAnsi="Calibri"/>
          <w:sz w:val="21"/>
          <w:szCs w:val="21"/>
        </w:rPr>
        <w:t xml:space="preserve">• Reglamento de la LFPIORPI — reforma DOF 27 de marzo de 2026</w:t>
      </w:r>
    </w:p>
    <w:p>
      <w:pPr>
        <w:spacing w:after="70"/>
      </w:pPr>
      <w:r>
        <w:rPr>
          <w:rFonts w:ascii="Calibri" w:cs="Calibri" w:eastAsia="Calibri" w:hAnsi="Calibri"/>
          <w:sz w:val="21"/>
          <w:szCs w:val="21"/>
        </w:rPr>
        <w:t xml:space="preserve">• Reglas de Carácter General — Acuerdo 115/2026 (DOF 07/08/2026)</w:t>
      </w:r>
    </w:p>
    <w:p>
      <w:pPr>
        <w:spacing w:after="70"/>
      </w:pPr>
      <w:r>
        <w:rPr>
          <w:rFonts w:ascii="Calibri" w:cs="Calibri" w:eastAsia="Calibri" w:hAnsi="Calibri"/>
          <w:sz w:val="21"/>
          <w:szCs w:val="21"/>
        </w:rPr>
        <w:t xml:space="preserve">• Fracción aplicable: XI — servicios profesionales independientes, incisos a) a e)</w:t>
      </w:r>
    </w:p>
    <w:p>
      <w:pPr>
        <w:keepNext/>
        <w:spacing w:after="90" w:before="150"/>
      </w:pPr>
      <w:r>
        <w:rPr>
          <w:rFonts w:ascii="Calibri" w:cs="Calibri" w:eastAsia="Calibri" w:hAnsi="Calibri"/>
          <w:b/>
          <w:bCs/>
          <w:sz w:val="21"/>
          <w:szCs w:val="21"/>
        </w:rPr>
        <w:t xml:space="preserve">1.2 Naturaleza, contenido y documentos que integran este Manual</w:t>
      </w:r>
    </w:p>
    <w:p>
      <w:pPr>
        <w:spacing w:after="110"/>
      </w:pPr>
      <w:r>
        <w:rPr>
          <w:rFonts w:ascii="Calibri" w:cs="Calibri" w:eastAsia="Calibri" w:hAnsi="Calibri"/>
          <w:sz w:val="20"/>
          <w:szCs w:val="20"/>
        </w:rPr>
        <w:t xml:space="preserve">Este documento es el Manual de Políticas Internas a que se refieren el Art. 2, fracción XI Bis, y el Capítulo X (Arts. 37 a 37 Bis 3) de las RCG. Contiene, por lo menos, los catorce rubros del Art. 37 Bis, así como el procedimiento y los criterios para la apertura, limitación o terminación de relaciones comerciales (Art. 37, tercer párrafo). El Anexo A relaciona cada rubro con el capítulo o documento que lo desarrolla.</w:t>
      </w:r>
    </w:p>
    <w:p>
      <w:pPr>
        <w:spacing w:after="110"/>
      </w:pPr>
      <w:r>
        <w:rPr>
          <w:rFonts w:ascii="Calibri" w:cs="Calibri" w:eastAsia="Calibri" w:hAnsi="Calibri"/>
          <w:sz w:val="20"/>
          <w:szCs w:val="20"/>
        </w:rPr>
        <w:t xml:space="preserve">Conforme al Art. 37, segundo párrafo, RCG, los documentos del Programa Certus PLD a los que remite este Manual (D6-PROF Metodología EBR, D7-PROF Expediente de identificación, D8-PROF Política de PEP's, D9-PROF Operaciones inusuales, D10-PROF Resguardo documental, D11-PROF/D11B-PROF/D11C-PROF Capacitación, D12-PROF Control de Avisos y D13-PROF Auditoría) forman parte integrante de él; se conservan identificados con su versión y fecha junto con este Manual, y se ponen a disposición de la UIF o del SAT cuando lo requieran.</w:t>
      </w:r>
    </w:p>
    <w:p>
      <w:pPr>
        <w:spacing w:after="110"/>
      </w:pPr>
      <w:r>
        <w:rPr>
          <w:rFonts w:ascii="Calibri" w:cs="Calibri" w:eastAsia="Calibri" w:hAnsi="Calibri"/>
          <w:sz w:val="20"/>
          <w:szCs w:val="20"/>
        </w:rPr>
        <w:t xml:space="preserve">Plazo: el Manual debe existir a los noventa días naturales del alta y registro (Art. 37 RCG). Quien ya estaba registrado antes de la entrada en vigor del Acuerdo 115/2026 debe contar con él, incluida la metodología de evaluación de Riesgos, a partir del 1 de marzo de 2027 (Transitorio Tercero).</w:t>
      </w:r>
    </w:p>
    <w:p>
      <w:pPr>
        <w:spacing w:after="110"/>
      </w:pPr>
      <w:r>
        <w:rPr>
          <w:rFonts w:ascii="Calibri" w:cs="Calibri" w:eastAsia="Calibri" w:hAnsi="Calibri"/>
          <w:sz w:val="20"/>
          <w:szCs w:val="20"/>
        </w:rPr>
        <w:t xml:space="preserve">Correspondencia con la operación real: este Manual debe reflejar la forma en que el profesional o despacho efectivamente lleva a cabo sus servicios u operaciones. Antes de su adopción, y cada vez que cambie la operación, el Profesional Titular o, en el despacho, el Representante de Cumplimiento llena y firma la Descripción Operativa del Anexo C; las políticas de este Manual se aplican conforme a esa descripción.</w:t>
      </w:r>
    </w:p>
    <w:p>
      <w:pPr>
        <w:spacing w:after="110"/>
      </w:pPr>
      <w:r>
        <w:rPr>
          <w:rFonts w:ascii="Calibri" w:cs="Calibri" w:eastAsia="Calibri" w:hAnsi="Calibri"/>
          <w:i/>
          <w:iCs/>
          <w:color w:val="666666"/>
          <w:sz w:val="19"/>
          <w:szCs w:val="19"/>
        </w:rPr>
        <w:t xml:space="preserve">Los parámetros y plazos marcados como "criterio del Programa" no están fijados por la regulación; son mínimos recomendados por Certus PLD que el sujeto obligado puede ajustar con base en los resultados de su metodología, siempre que lo documente en este Manual.</w:t>
      </w:r>
    </w:p>
    <w:p>
      <w:pPr>
        <w:shd w:fill="1F3864" w:val="clear"/>
        <w:spacing w:after="100" w:before="220"/>
      </w:pPr>
      <w:r>
        <w:rPr>
          <w:rFonts w:ascii="Calibri" w:cs="Calibri" w:eastAsia="Calibri" w:hAnsi="Calibri"/>
          <w:b/>
          <w:bCs/>
          <w:color w:val="FFFFFF"/>
          <w:sz w:val="22"/>
          <w:szCs w:val="22"/>
        </w:rPr>
        <w:t xml:space="preserve">Capítulo 2: Objeto y Alcance</w:t>
      </w:r>
    </w:p>
    <w:p>
      <w:pPr>
        <w:spacing w:after="110"/>
      </w:pPr>
      <w:r>
        <w:rPr>
          <w:rFonts w:ascii="Calibri" w:cs="Calibri" w:eastAsia="Calibri" w:hAnsi="Calibri"/>
          <w:sz w:val="21"/>
          <w:szCs w:val="21"/>
        </w:rPr>
        <w:t xml:space="preserve">Este Manual establece los procedimientos, políticas y controles internos para prevenir, detectar y reportar operaciones vinculadas con el lavado de dinero o financiamiento al terrorismo, respecto de los servicios que el profesional o despacho preste comprendidos en los incisos a) a e) de la Fracción XI.</w:t>
      </w:r>
    </w:p>
    <w:p>
      <w:pPr>
        <w:spacing w:after="110"/>
      </w:pPr>
      <w:r>
        <w:rPr>
          <w:rFonts w:ascii="Calibri" w:cs="Calibri" w:eastAsia="Calibri" w:hAnsi="Calibri"/>
          <w:sz w:val="20"/>
          <w:szCs w:val="20"/>
        </w:rPr>
        <w:t xml:space="preserve">Incisos que no se prestan (art. 37 Bis 2 RCG). El profesional o despacho hace constar que no presta servicios comprendidos en los siguientes incisos de la Fracción XI: [INCISOS QUE NO SE PRESTAN — a), b), c), d) y/o e)]. Respecto de ellos no establece políticas ni procedimientos específicos; si decide prestarlos, debe actualizar este Manual de manera previa a la realización de esos servicios. Las líneas de servicio que quedan fuera de los incisos a) a e) (por ejemplo, litigio y representación contenciosa, asesoría laboral, consultoría fiscal sin manejo de cuentas ni constitución de sociedades, auditoría contable sin administración de recursos del cliente) se listan en el capítulo 20.</w:t>
      </w:r>
    </w:p>
    <w:p>
      <w:pPr>
        <w:keepNext/>
        <w:spacing w:after="90" w:before="150"/>
      </w:pPr>
      <w:r>
        <w:rPr>
          <w:rFonts w:ascii="Calibri" w:cs="Calibri" w:eastAsia="Calibri" w:hAnsi="Calibri"/>
          <w:b/>
          <w:bCs/>
          <w:sz w:val="21"/>
          <w:szCs w:val="21"/>
        </w:rPr>
        <w:t xml:space="preserve">2.1 Nuevos productos, servicios, canales o tipos de clientes (Art. 10 Septies, tercer párrafo, RCG)</w:t>
      </w:r>
    </w:p>
    <w:p>
      <w:pPr>
        <w:spacing w:after="110"/>
      </w:pPr>
      <w:r>
        <w:rPr>
          <w:rFonts w:ascii="Calibri" w:cs="Calibri" w:eastAsia="Calibri" w:hAnsi="Calibri"/>
          <w:sz w:val="20"/>
          <w:szCs w:val="20"/>
        </w:rPr>
        <w:t xml:space="preserve">Antes de ofrecer nuevos medios, canales, modalidades, productos o servicios, o de dirigir su actividad a nuevos tipos de Clientes o Usuarias (por ejemplo, actos u operaciones a distancia, clientes extranjeros, o nuevas fracciones, incisos o líneas de servicio), el profesional o despacho: (i) evalúa por escrito los Riesgos asociados con los elementos de la sección de evaluación de Riesgos de este Manual; (ii) define los Mitigantes; (iii) actualiza este Manual y la Metodología EBR; y (iv) obtiene la aprobación del Profesional Titular o el órgano de administración del despacho. La evaluación se conserva por diez años.</w:t>
      </w:r>
    </w:p>
    <w:p>
      <w:pPr>
        <w:keepNext/>
        <w:spacing w:after="90" w:before="150"/>
      </w:pPr>
      <w:r>
        <w:rPr>
          <w:rFonts w:ascii="Calibri" w:cs="Calibri" w:eastAsia="Calibri" w:hAnsi="Calibri"/>
          <w:b/>
          <w:bCs/>
          <w:sz w:val="21"/>
          <w:szCs w:val="21"/>
        </w:rPr>
        <w:t xml:space="preserve">2.2 Actos u operaciones por medios electrónicos (Art. 18 RCG)</w:t>
      </w:r>
    </w:p>
    <w:p>
      <w:pPr>
        <w:spacing w:after="110"/>
      </w:pPr>
      <w:r>
        <w:rPr>
          <w:rFonts w:ascii="Calibri" w:cs="Calibri" w:eastAsia="Calibri" w:hAnsi="Calibri"/>
          <w:sz w:val="20"/>
          <w:szCs w:val="20"/>
        </w:rPr>
        <w:t xml:space="preserve">Si el profesional o despacho realiza actos u operaciones a través de medios electrónicos, ópticos o de cualquier otra tecnología, integra el expediente de identificación antes del acto; identifica al Cliente o Usuaria mediante la verificación de su identificación oficial y de su rostro, y la validación de sus datos con las fuentes oficiales disponibles; y aplica controles contra el uso indebido de esos medios (credenciales personales, bitácora de accesos y conservación de la evidencia de identificación en el expediente). Si no los realiza, lo hace constar como supuesto no realizado (Art. 37 Bis 2 RCG).</w:t>
      </w:r>
    </w:p>
    <w:p>
      <w:pPr>
        <w:shd w:fill="1F3864" w:val="clear"/>
        <w:spacing w:after="100" w:before="220"/>
      </w:pPr>
      <w:r>
        <w:rPr>
          <w:rFonts w:ascii="Calibri" w:cs="Calibri" w:eastAsia="Calibri" w:hAnsi="Calibri"/>
          <w:b/>
          <w:bCs/>
          <w:color w:val="FFFFFF"/>
          <w:sz w:val="22"/>
          <w:szCs w:val="22"/>
        </w:rPr>
        <w:t xml:space="preserve">Capítulo 3: Organización y Responsabilidades</w:t>
      </w:r>
    </w:p>
    <w:p>
      <w:pPr>
        <w:spacing w:after="110"/>
      </w:pPr>
      <w:r>
        <w:rPr>
          <w:rFonts w:ascii="Calibri" w:cs="Calibri" w:eastAsia="Calibri" w:hAnsi="Calibri"/>
          <w:sz w:val="21"/>
          <w:szCs w:val="21"/>
        </w:rPr>
        <w:t xml:space="preserve">Si el profesional es persona física, cumple personal y directamente con las obligaciones de este Manual conforme al artículo 20, último párrafo (ver D2-PROF-PF). Si es un despacho (persona moral), designa un Representante de Cumplimiento registrable ante la Secretaría (D2-PROF-PM), con las facultades y responsabilidades ahí descritas.</w:t>
      </w:r>
    </w:p>
    <w:p>
      <w:pPr>
        <w:spacing w:after="110"/>
      </w:pPr>
      <w:r>
        <w:rPr>
          <w:rFonts w:ascii="Calibri" w:cs="Calibri" w:eastAsia="Calibri" w:hAnsi="Calibri"/>
          <w:sz w:val="20"/>
          <w:szCs w:val="20"/>
        </w:rPr>
        <w:t xml:space="preserve">Funciones del Representante de Cumplimiento (art. 37 Bis, fr. X, RCG): supervisar la aplicación de este Manual; determinar, por asunto y cliente, si el servicio se ubica en los incisos a) a e); decidir los casos de debida diligencia reforzada y de Aviso; presentar los Avisos; coordinar la capacitación y las auditorías; y guardar confidencialidad (arts. 38 de la Ley y 31 RCG). El Representante debe ser una persona física que acepta la designación en el Portal con su RFC y e.firma (art. 10 RCG) y recibir capacitación anual (art. 20 de la Ley). En tanto no haya Representante o la designación no sea aceptada, el cumplimiento corresponde a los integrantes del órgano de administración o al administrador único. El profesional persona física no puede delegar su responsabilidad; puede auxiliarse de un Encargado Operativo interno (D2-PROF-PF, sección III).</w:t>
      </w:r>
    </w:p>
    <w:p>
      <w:pPr>
        <w:keepNext/>
        <w:spacing w:after="90" w:before="150"/>
      </w:pPr>
      <w:r>
        <w:rPr>
          <w:rFonts w:ascii="Calibri" w:cs="Calibri" w:eastAsia="Calibri" w:hAnsi="Calibri"/>
          <w:b/>
          <w:bCs/>
          <w:sz w:val="21"/>
          <w:szCs w:val="21"/>
        </w:rPr>
        <w:t xml:space="preserve">3.1 Atribuciones, recursos y suplencia (art. 37 Bis, fr. X, RCG)</w:t>
      </w:r>
    </w:p>
    <w:p>
      <w:pPr>
        <w:spacing w:after="70"/>
      </w:pPr>
      <w:r>
        <w:rPr>
          <w:rFonts w:ascii="Calibri" w:cs="Calibri" w:eastAsia="Calibri" w:hAnsi="Calibri"/>
          <w:sz w:val="20"/>
          <w:szCs w:val="20"/>
        </w:rPr>
        <w:t xml:space="preserve">• Atribución para detener o suspender la ejecución de cualquier servicio u operación de los incisos a) a e) mientras se resuelve una alerta, se completa el expediente o se obtiene la aprobación requerida.</w:t>
      </w:r>
    </w:p>
    <w:p>
      <w:pPr>
        <w:spacing w:after="70"/>
      </w:pPr>
      <w:r>
        <w:rPr>
          <w:rFonts w:ascii="Calibri" w:cs="Calibri" w:eastAsia="Calibri" w:hAnsi="Calibri"/>
          <w:sz w:val="20"/>
          <w:szCs w:val="20"/>
        </w:rPr>
        <w:t xml:space="preserve">• Acceso irrestricto y oportuno a la información de clientes, asuntos y cuentas administradas, sin perjuicio del secreto profesional en los términos del capítulo 20.</w:t>
      </w:r>
    </w:p>
    <w:p>
      <w:pPr>
        <w:spacing w:after="70"/>
      </w:pPr>
      <w:r>
        <w:rPr>
          <w:rFonts w:ascii="Calibri" w:cs="Calibri" w:eastAsia="Calibri" w:hAnsi="Calibri"/>
          <w:sz w:val="20"/>
          <w:szCs w:val="20"/>
        </w:rPr>
        <w:t xml:space="preserve">• En el despacho, el Representante reporta directamente al órgano de administración y su evaluación no depende de la facturación de los asuntos que revisa (criterio del Programa).</w:t>
      </w:r>
    </w:p>
    <w:p>
      <w:pPr>
        <w:spacing w:after="70"/>
      </w:pPr>
      <w:r>
        <w:rPr>
          <w:rFonts w:ascii="Calibri" w:cs="Calibri" w:eastAsia="Calibri" w:hAnsi="Calibri"/>
          <w:sz w:val="20"/>
          <w:szCs w:val="20"/>
        </w:rPr>
        <w:t xml:space="preserve">• Recursos asignados: [RECURSOS ASIGNADOS — tiempo dedicado, personal de apoyo, herramientas y presupuesto de capacitación y asesoría].</w:t>
      </w:r>
    </w:p>
    <w:p>
      <w:pPr>
        <w:spacing w:after="70"/>
      </w:pPr>
      <w:r>
        <w:rPr>
          <w:rFonts w:ascii="Calibri" w:cs="Calibri" w:eastAsia="Calibri" w:hAnsi="Calibri"/>
          <w:sz w:val="20"/>
          <w:szCs w:val="20"/>
        </w:rPr>
        <w:t xml:space="preserve">• Suplencia: en ausencias temporales, [NOMBRE Y CARGO DEL SUPLENTE] auxilia en las funciones operativas; todo cambio de Representante del despacho se actualiza en el Portal. El profesional persona física no delega su responsabilidad (art. 20, último párrafo, de la Ley).</w:t>
      </w:r>
    </w:p>
    <w:p>
      <w:pPr>
        <w:keepNext/>
        <w:spacing w:after="90" w:before="150"/>
      </w:pPr>
      <w:r>
        <w:rPr>
          <w:rFonts w:ascii="Calibri" w:cs="Calibri" w:eastAsia="Calibri" w:hAnsi="Calibri"/>
          <w:b/>
          <w:bCs/>
          <w:sz w:val="21"/>
          <w:szCs w:val="21"/>
        </w:rPr>
        <w:t xml:space="preserve">3.2 Grupo Empresarial (Art. 37 Bis 1 RCG) — solo despachos (personas morales)</w:t>
      </w:r>
    </w:p>
    <w:p>
      <w:pPr>
        <w:spacing w:after="110"/>
      </w:pPr>
      <w:r>
        <w:rPr>
          <w:rFonts w:ascii="Calibri" w:cs="Calibri" w:eastAsia="Calibri" w:hAnsi="Calibri"/>
          <w:sz w:val="20"/>
          <w:szCs w:val="20"/>
        </w:rPr>
        <w:t xml:space="preserve">[ ] El profesional o despacho no forma parte de un Grupo Empresarial.   [ ] El profesional o despacho forma parte del Grupo Empresarial [NOMBRE DEL GRUPO EMPRESARIAL], integrado por: [SOCIEDADES, SUCURSALES Y FILIALES].</w:t>
      </w:r>
    </w:p>
    <w:p>
      <w:pPr>
        <w:spacing w:after="110"/>
      </w:pPr>
      <w:r>
        <w:rPr>
          <w:rFonts w:ascii="Calibri" w:cs="Calibri" w:eastAsia="Calibri" w:hAnsi="Calibri"/>
          <w:sz w:val="20"/>
          <w:szCs w:val="20"/>
        </w:rPr>
        <w:t xml:space="preserve">Cuando forme parte de un Grupo Empresarial, se aplican políticas y mecanismos de cumplimiento centralizados para todas las sucursales y filiales de propiedad mayoritaria, incluidas las extranjeras, siempre que: (i) resulten aplicables a todos los integrantes; (ii) permitan compartir información para la identificación y mitigación de Riesgos; y (iii) garanticen que cada sucursal o filial cumpla en lo individual sus obligaciones conforme a la Ley. En consecuencia:</w:t>
      </w:r>
    </w:p>
    <w:p>
      <w:pPr>
        <w:spacing w:after="70"/>
      </w:pPr>
      <w:r>
        <w:rPr>
          <w:rFonts w:ascii="Calibri" w:cs="Calibri" w:eastAsia="Calibri" w:hAnsi="Calibri"/>
          <w:sz w:val="20"/>
          <w:szCs w:val="20"/>
        </w:rPr>
        <w:t xml:space="preserve">• Cada sociedad que realice Actividades Vulnerables conserva su propia alta y registro, sus Avisos e Informes, su Representante Encargado de Cumplimiento y su responsabilidad individual ante la autoridad.</w:t>
      </w:r>
    </w:p>
    <w:p>
      <w:pPr>
        <w:spacing w:after="70"/>
      </w:pPr>
      <w:r>
        <w:rPr>
          <w:rFonts w:ascii="Calibri" w:cs="Calibri" w:eastAsia="Calibri" w:hAnsi="Calibri"/>
          <w:sz w:val="20"/>
          <w:szCs w:val="20"/>
        </w:rPr>
        <w:t xml:space="preserve">• El intercambio de información y documentación de identificación entre integrantes del grupo se realiza conforme a las RCG (entre otros, Art. 35) y con las medidas de confidencialidad y protección de datos de este Manual.</w:t>
      </w:r>
    </w:p>
    <w:p>
      <w:pPr>
        <w:spacing w:after="70"/>
      </w:pPr>
      <w:r>
        <w:rPr>
          <w:rFonts w:ascii="Calibri" w:cs="Calibri" w:eastAsia="Calibri" w:hAnsi="Calibri"/>
          <w:sz w:val="20"/>
          <w:szCs w:val="20"/>
        </w:rPr>
        <w:t xml:space="preserve">• Este Manual se adopta por cada integrante; puede remitir a un manual corporativo del grupo, siempre que la referencia sea identificable y el documento esté disponible para la autoridad (Art. 37, segundo párrafo, RCG).</w:t>
      </w:r>
    </w:p>
    <w:p>
      <w:pPr>
        <w:shd w:fill="1F3864" w:val="clear"/>
        <w:spacing w:after="100" w:before="220"/>
      </w:pPr>
      <w:r>
        <w:rPr>
          <w:rFonts w:ascii="Calibri" w:cs="Calibri" w:eastAsia="Calibri" w:hAnsi="Calibri"/>
          <w:b/>
          <w:bCs/>
          <w:color w:val="FFFFFF"/>
          <w:sz w:val="22"/>
          <w:szCs w:val="22"/>
        </w:rPr>
        <w:t xml:space="preserve">Capítulo 4: Identificación y Conocimiento del Cliente (KYC)</w:t>
      </w:r>
    </w:p>
    <w:p>
      <w:pPr>
        <w:spacing w:after="110"/>
      </w:pPr>
      <w:r>
        <w:rPr>
          <w:rFonts w:ascii="Calibri" w:cs="Calibri" w:eastAsia="Calibri" w:hAnsi="Calibri"/>
          <w:sz w:val="21"/>
          <w:szCs w:val="21"/>
        </w:rPr>
        <w:t xml:space="preserve">Todo cliente para quien el profesional se prepare a realizar alguna operación de los incisos a) a e) debe ser identificado ANTES de prestar el servicio, sin importar el monto. Se integra un expediente KYC conforme al Documento D7-PROF.</w:t>
      </w:r>
    </w:p>
    <w:p>
      <w:pPr>
        <w:spacing w:after="90" w:before="150"/>
      </w:pPr>
      <w:r>
        <w:rPr>
          <w:rFonts w:ascii="Calibri" w:cs="Calibri" w:eastAsia="Calibri" w:hAnsi="Calibri"/>
          <w:b/>
          <w:bCs/>
          <w:sz w:val="21"/>
          <w:szCs w:val="21"/>
        </w:rPr>
        <w:t xml:space="preserve">4.1 Momento de sujeción por inciso — sin umbral monetario</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2700"/>
        <w:gridCol w:w="2700"/>
      </w:tblGrid>
      <w:tr>
        <w:tc>
          <w:tcPr>
            <w:tcW w:type="dxa" w:w="900"/>
            <w:shd w:fill="D9D9D9" w:val="clear"/>
            <w:tcMar>
              <w:top w:type="dxa" w:w="60"/>
              <w:left w:type="dxa" w:w="100"/>
              <w:bottom w:type="dxa" w:w="60"/>
              <w:right w:type="dxa" w:w="100"/>
            </w:tcMar>
            <w:vAlign w:val="center"/>
          </w:tcPr>
          <w:p>
            <w:pPr>
              <w:spacing w:after="0"/>
            </w:pPr>
            <w:r>
              <w:rPr>
                <w:rFonts w:ascii="Calibri" w:cs="Calibri" w:eastAsia="Calibri" w:hAnsi="Calibri"/>
                <w:b/>
                <w:bCs/>
                <w:sz w:val="19"/>
                <w:szCs w:val="19"/>
              </w:rPr>
              <w:t xml:space="preserve">Inciso</w:t>
            </w:r>
          </w:p>
        </w:tc>
        <w:tc>
          <w:tcPr>
            <w:tcW w:type="dxa" w:w="3200"/>
            <w:shd w:fill="D9D9D9" w:val="clear"/>
            <w:tcMar>
              <w:top w:type="dxa" w:w="60"/>
              <w:left w:type="dxa" w:w="100"/>
              <w:bottom w:type="dxa" w:w="60"/>
              <w:right w:type="dxa" w:w="100"/>
            </w:tcMar>
            <w:vAlign w:val="center"/>
          </w:tcPr>
          <w:p>
            <w:pPr>
              <w:spacing w:after="0"/>
            </w:pPr>
            <w:r>
              <w:rPr>
                <w:rFonts w:ascii="Calibri" w:cs="Calibri" w:eastAsia="Calibri" w:hAnsi="Calibri"/>
                <w:b/>
                <w:bCs/>
                <w:sz w:val="19"/>
                <w:szCs w:val="19"/>
              </w:rPr>
              <w:t xml:space="preserve">Operación</w:t>
            </w:r>
          </w:p>
        </w:tc>
        <w:tc>
          <w:tcPr>
            <w:tcW w:type="dxa" w:w="2700"/>
            <w:shd w:fill="D9D9D9" w:val="clear"/>
            <w:tcMar>
              <w:top w:type="dxa" w:w="60"/>
              <w:left w:type="dxa" w:w="100"/>
              <w:bottom w:type="dxa" w:w="60"/>
              <w:right w:type="dxa" w:w="100"/>
            </w:tcMar>
            <w:vAlign w:val="center"/>
          </w:tcPr>
          <w:p>
            <w:pPr>
              <w:spacing w:after="0"/>
            </w:pPr>
            <w:r>
              <w:rPr>
                <w:rFonts w:ascii="Calibri" w:cs="Calibri" w:eastAsia="Calibri" w:hAnsi="Calibri"/>
                <w:b/>
                <w:bCs/>
                <w:sz w:val="19"/>
                <w:szCs w:val="19"/>
              </w:rPr>
              <w:t xml:space="preserve">Identificación</w:t>
            </w:r>
          </w:p>
        </w:tc>
        <w:tc>
          <w:tcPr>
            <w:tcW w:type="dxa" w:w="2700"/>
            <w:shd w:fill="D9D9D9" w:val="clear"/>
            <w:tcMar>
              <w:top w:type="dxa" w:w="60"/>
              <w:left w:type="dxa" w:w="100"/>
              <w:bottom w:type="dxa" w:w="60"/>
              <w:right w:type="dxa" w:w="100"/>
            </w:tcMar>
            <w:vAlign w:val="center"/>
          </w:tcPr>
          <w:p>
            <w:pPr>
              <w:spacing w:after="0"/>
            </w:pPr>
            <w:r>
              <w:rPr>
                <w:rFonts w:ascii="Calibri" w:cs="Calibri" w:eastAsia="Calibri" w:hAnsi="Calibri"/>
                <w:b/>
                <w:bCs/>
                <w:sz w:val="19"/>
                <w:szCs w:val="19"/>
              </w:rPr>
              <w:t xml:space="preserve">Aviso</w:t>
            </w:r>
          </w:p>
        </w:tc>
      </w:tr>
      <w:tr>
        <w:tc>
          <w:tcPr>
            <w:tcW w:type="dxa" w:w="900"/>
            <w:tcMar>
              <w:top w:type="dxa" w:w="60"/>
              <w:left w:type="dxa" w:w="100"/>
              <w:bottom w:type="dxa" w:w="60"/>
              <w:right w:type="dxa" w:w="100"/>
            </w:tcMar>
            <w:vAlign w:val="center"/>
          </w:tcPr>
          <w:p>
            <w:pPr>
              <w:spacing w:after="0"/>
            </w:pPr>
            <w:r>
              <w:rPr>
                <w:rFonts w:ascii="Calibri" w:cs="Calibri" w:eastAsia="Calibri" w:hAnsi="Calibri"/>
                <w:sz w:val="19"/>
                <w:szCs w:val="19"/>
              </w:rPr>
              <w:t xml:space="preserve">a)</w:t>
            </w:r>
          </w:p>
        </w:tc>
        <w:tc>
          <w:tcPr>
            <w:tcW w:type="dxa" w:w="3200"/>
            <w:tcMar>
              <w:top w:type="dxa" w:w="60"/>
              <w:left w:type="dxa" w:w="100"/>
              <w:bottom w:type="dxa" w:w="60"/>
              <w:right w:type="dxa" w:w="100"/>
            </w:tcMar>
            <w:vAlign w:val="center"/>
          </w:tcPr>
          <w:p>
            <w:pPr>
              <w:spacing w:after="0"/>
            </w:pPr>
            <w:r>
              <w:rPr>
                <w:rFonts w:ascii="Calibri" w:cs="Calibri" w:eastAsia="Calibri" w:hAnsi="Calibri"/>
                <w:sz w:val="19"/>
                <w:szCs w:val="19"/>
              </w:rPr>
              <w:t xml:space="preserve">Compraventa/cesión de inmuebles</w:t>
            </w:r>
          </w:p>
        </w:tc>
        <w:tc>
          <w:tcPr>
            <w:tcW w:type="dxa" w:w="2700"/>
            <w:tcMar>
              <w:top w:type="dxa" w:w="60"/>
              <w:left w:type="dxa" w:w="100"/>
              <w:bottom w:type="dxa" w:w="60"/>
              <w:right w:type="dxa" w:w="100"/>
            </w:tcMar>
            <w:vAlign w:val="center"/>
          </w:tcPr>
          <w:p>
            <w:pPr>
              <w:spacing w:after="0"/>
            </w:pPr>
            <w:r>
              <w:rPr>
                <w:rFonts w:ascii="Calibri" w:cs="Calibri" w:eastAsia="Calibri" w:hAnsi="Calibri"/>
                <w:sz w:val="19"/>
                <w:szCs w:val="19"/>
              </w:rPr>
              <w:t xml:space="preserve">SIEMPRE, al preparar</w:t>
            </w:r>
          </w:p>
        </w:tc>
        <w:tc>
          <w:tcPr>
            <w:tcW w:type="dxa" w:w="2700"/>
            <w:tcMar>
              <w:top w:type="dxa" w:w="60"/>
              <w:left w:type="dxa" w:w="100"/>
              <w:bottom w:type="dxa" w:w="60"/>
              <w:right w:type="dxa" w:w="100"/>
            </w:tcMar>
            <w:vAlign w:val="center"/>
          </w:tcPr>
          <w:p>
            <w:pPr>
              <w:spacing w:after="0"/>
            </w:pPr>
            <w:r>
              <w:rPr>
                <w:rFonts w:ascii="Calibri" w:cs="Calibri" w:eastAsia="Calibri" w:hAnsi="Calibri"/>
                <w:sz w:val="19"/>
                <w:szCs w:val="19"/>
              </w:rPr>
              <w:t xml:space="preserve">Solo si actúa en representación</w:t>
            </w:r>
          </w:p>
        </w:tc>
      </w:tr>
      <w:tr>
        <w:tc>
          <w:tcPr>
            <w:tcW w:type="dxa" w:w="900"/>
            <w:tcMar>
              <w:top w:type="dxa" w:w="60"/>
              <w:left w:type="dxa" w:w="100"/>
              <w:bottom w:type="dxa" w:w="60"/>
              <w:right w:type="dxa" w:w="100"/>
            </w:tcMar>
            <w:vAlign w:val="center"/>
          </w:tcPr>
          <w:p>
            <w:pPr>
              <w:spacing w:after="0"/>
            </w:pPr>
            <w:r>
              <w:rPr>
                <w:rFonts w:ascii="Calibri" w:cs="Calibri" w:eastAsia="Calibri" w:hAnsi="Calibri"/>
                <w:sz w:val="19"/>
                <w:szCs w:val="19"/>
              </w:rPr>
              <w:t xml:space="preserve">b)</w:t>
            </w:r>
          </w:p>
        </w:tc>
        <w:tc>
          <w:tcPr>
            <w:tcW w:type="dxa" w:w="3200"/>
            <w:tcMar>
              <w:top w:type="dxa" w:w="60"/>
              <w:left w:type="dxa" w:w="100"/>
              <w:bottom w:type="dxa" w:w="60"/>
              <w:right w:type="dxa" w:w="100"/>
            </w:tcMar>
            <w:vAlign w:val="center"/>
          </w:tcPr>
          <w:p>
            <w:pPr>
              <w:spacing w:after="0"/>
            </w:pPr>
            <w:r>
              <w:rPr>
                <w:rFonts w:ascii="Calibri" w:cs="Calibri" w:eastAsia="Calibri" w:hAnsi="Calibri"/>
                <w:sz w:val="19"/>
                <w:szCs w:val="19"/>
              </w:rPr>
              <w:t xml:space="preserve">Administración de recursos/activos</w:t>
            </w:r>
          </w:p>
        </w:tc>
        <w:tc>
          <w:tcPr>
            <w:tcW w:type="dxa" w:w="2700"/>
            <w:tcMar>
              <w:top w:type="dxa" w:w="60"/>
              <w:left w:type="dxa" w:w="100"/>
              <w:bottom w:type="dxa" w:w="60"/>
              <w:right w:type="dxa" w:w="100"/>
            </w:tcMar>
            <w:vAlign w:val="center"/>
          </w:tcPr>
          <w:p>
            <w:pPr>
              <w:spacing w:after="0"/>
            </w:pPr>
            <w:r>
              <w:rPr>
                <w:rFonts w:ascii="Calibri" w:cs="Calibri" w:eastAsia="Calibri" w:hAnsi="Calibri"/>
                <w:sz w:val="19"/>
                <w:szCs w:val="19"/>
              </w:rPr>
              <w:t xml:space="preserve">SIEMPRE, al preparar</w:t>
            </w:r>
          </w:p>
        </w:tc>
        <w:tc>
          <w:tcPr>
            <w:tcW w:type="dxa" w:w="2700"/>
            <w:tcMar>
              <w:top w:type="dxa" w:w="60"/>
              <w:left w:type="dxa" w:w="100"/>
              <w:bottom w:type="dxa" w:w="60"/>
              <w:right w:type="dxa" w:w="100"/>
            </w:tcMar>
            <w:vAlign w:val="center"/>
          </w:tcPr>
          <w:p>
            <w:pPr>
              <w:spacing w:after="0"/>
            </w:pPr>
            <w:r>
              <w:rPr>
                <w:rFonts w:ascii="Calibri" w:cs="Calibri" w:eastAsia="Calibri" w:hAnsi="Calibri"/>
                <w:sz w:val="19"/>
                <w:szCs w:val="19"/>
              </w:rPr>
              <w:t xml:space="preserve">Solo si actúa en representación</w:t>
            </w:r>
          </w:p>
        </w:tc>
      </w:tr>
      <w:tr>
        <w:tc>
          <w:tcPr>
            <w:tcW w:type="dxa" w:w="900"/>
            <w:tcMar>
              <w:top w:type="dxa" w:w="60"/>
              <w:left w:type="dxa" w:w="100"/>
              <w:bottom w:type="dxa" w:w="60"/>
              <w:right w:type="dxa" w:w="100"/>
            </w:tcMar>
            <w:vAlign w:val="center"/>
          </w:tcPr>
          <w:p>
            <w:pPr>
              <w:spacing w:after="0"/>
            </w:pPr>
            <w:r>
              <w:rPr>
                <w:rFonts w:ascii="Calibri" w:cs="Calibri" w:eastAsia="Calibri" w:hAnsi="Calibri"/>
                <w:sz w:val="19"/>
                <w:szCs w:val="19"/>
              </w:rPr>
              <w:t xml:space="preserve">c)</w:t>
            </w:r>
          </w:p>
        </w:tc>
        <w:tc>
          <w:tcPr>
            <w:tcW w:type="dxa" w:w="3200"/>
            <w:tcMar>
              <w:top w:type="dxa" w:w="60"/>
              <w:left w:type="dxa" w:w="100"/>
              <w:bottom w:type="dxa" w:w="60"/>
              <w:right w:type="dxa" w:w="100"/>
            </w:tcMar>
            <w:vAlign w:val="center"/>
          </w:tcPr>
          <w:p>
            <w:pPr>
              <w:spacing w:after="0"/>
            </w:pPr>
            <w:r>
              <w:rPr>
                <w:rFonts w:ascii="Calibri" w:cs="Calibri" w:eastAsia="Calibri" w:hAnsi="Calibri"/>
                <w:sz w:val="19"/>
                <w:szCs w:val="19"/>
              </w:rPr>
              <w:t xml:space="preserve">Manejo de cuentas bancarias</w:t>
            </w:r>
          </w:p>
        </w:tc>
        <w:tc>
          <w:tcPr>
            <w:tcW w:type="dxa" w:w="2700"/>
            <w:tcMar>
              <w:top w:type="dxa" w:w="60"/>
              <w:left w:type="dxa" w:w="100"/>
              <w:bottom w:type="dxa" w:w="60"/>
              <w:right w:type="dxa" w:w="100"/>
            </w:tcMar>
            <w:vAlign w:val="center"/>
          </w:tcPr>
          <w:p>
            <w:pPr>
              <w:spacing w:after="0"/>
            </w:pPr>
            <w:r>
              <w:rPr>
                <w:rFonts w:ascii="Calibri" w:cs="Calibri" w:eastAsia="Calibri" w:hAnsi="Calibri"/>
                <w:sz w:val="19"/>
                <w:szCs w:val="19"/>
              </w:rPr>
              <w:t xml:space="preserve">SIEMPRE, al preparar</w:t>
            </w:r>
          </w:p>
        </w:tc>
        <w:tc>
          <w:tcPr>
            <w:tcW w:type="dxa" w:w="2700"/>
            <w:tcMar>
              <w:top w:type="dxa" w:w="60"/>
              <w:left w:type="dxa" w:w="100"/>
              <w:bottom w:type="dxa" w:w="60"/>
              <w:right w:type="dxa" w:w="100"/>
            </w:tcMar>
            <w:vAlign w:val="center"/>
          </w:tcPr>
          <w:p>
            <w:pPr>
              <w:spacing w:after="0"/>
            </w:pPr>
            <w:r>
              <w:rPr>
                <w:rFonts w:ascii="Calibri" w:cs="Calibri" w:eastAsia="Calibri" w:hAnsi="Calibri"/>
                <w:sz w:val="19"/>
                <w:szCs w:val="19"/>
              </w:rPr>
              <w:t xml:space="preserve">Solo si actúa en representación</w:t>
            </w:r>
          </w:p>
        </w:tc>
      </w:tr>
      <w:tr>
        <w:tc>
          <w:tcPr>
            <w:tcW w:type="dxa" w:w="900"/>
            <w:tcMar>
              <w:top w:type="dxa" w:w="60"/>
              <w:left w:type="dxa" w:w="100"/>
              <w:bottom w:type="dxa" w:w="60"/>
              <w:right w:type="dxa" w:w="100"/>
            </w:tcMar>
            <w:vAlign w:val="center"/>
          </w:tcPr>
          <w:p>
            <w:pPr>
              <w:spacing w:after="0"/>
            </w:pPr>
            <w:r>
              <w:rPr>
                <w:rFonts w:ascii="Calibri" w:cs="Calibri" w:eastAsia="Calibri" w:hAnsi="Calibri"/>
                <w:sz w:val="19"/>
                <w:szCs w:val="19"/>
              </w:rPr>
              <w:t xml:space="preserve">d)</w:t>
            </w:r>
          </w:p>
        </w:tc>
        <w:tc>
          <w:tcPr>
            <w:tcW w:type="dxa" w:w="3200"/>
            <w:tcMar>
              <w:top w:type="dxa" w:w="60"/>
              <w:left w:type="dxa" w:w="100"/>
              <w:bottom w:type="dxa" w:w="60"/>
              <w:right w:type="dxa" w:w="100"/>
            </w:tcMar>
            <w:vAlign w:val="center"/>
          </w:tcPr>
          <w:p>
            <w:pPr>
              <w:spacing w:after="0"/>
            </w:pPr>
            <w:r>
              <w:rPr>
                <w:rFonts w:ascii="Calibri" w:cs="Calibri" w:eastAsia="Calibri" w:hAnsi="Calibri"/>
                <w:sz w:val="19"/>
                <w:szCs w:val="19"/>
              </w:rPr>
              <w:t xml:space="preserve">Aportaciones de capital</w:t>
            </w:r>
          </w:p>
        </w:tc>
        <w:tc>
          <w:tcPr>
            <w:tcW w:type="dxa" w:w="2700"/>
            <w:tcMar>
              <w:top w:type="dxa" w:w="60"/>
              <w:left w:type="dxa" w:w="100"/>
              <w:bottom w:type="dxa" w:w="60"/>
              <w:right w:type="dxa" w:w="100"/>
            </w:tcMar>
            <w:vAlign w:val="center"/>
          </w:tcPr>
          <w:p>
            <w:pPr>
              <w:spacing w:after="0"/>
            </w:pPr>
            <w:r>
              <w:rPr>
                <w:rFonts w:ascii="Calibri" w:cs="Calibri" w:eastAsia="Calibri" w:hAnsi="Calibri"/>
                <w:sz w:val="19"/>
                <w:szCs w:val="19"/>
              </w:rPr>
              <w:t xml:space="preserve">SIEMPRE, al preparar</w:t>
            </w:r>
          </w:p>
        </w:tc>
        <w:tc>
          <w:tcPr>
            <w:tcW w:type="dxa" w:w="2700"/>
            <w:tcMar>
              <w:top w:type="dxa" w:w="60"/>
              <w:left w:type="dxa" w:w="100"/>
              <w:bottom w:type="dxa" w:w="60"/>
              <w:right w:type="dxa" w:w="100"/>
            </w:tcMar>
            <w:vAlign w:val="center"/>
          </w:tcPr>
          <w:p>
            <w:pPr>
              <w:spacing w:after="0"/>
            </w:pPr>
            <w:r>
              <w:rPr>
                <w:rFonts w:ascii="Calibri" w:cs="Calibri" w:eastAsia="Calibri" w:hAnsi="Calibri"/>
                <w:sz w:val="19"/>
                <w:szCs w:val="19"/>
              </w:rPr>
              <w:t xml:space="preserve">Solo si actúa en representación</w:t>
            </w:r>
          </w:p>
        </w:tc>
      </w:tr>
      <w:tr>
        <w:tc>
          <w:tcPr>
            <w:tcW w:type="dxa" w:w="900"/>
            <w:tcMar>
              <w:top w:type="dxa" w:w="60"/>
              <w:left w:type="dxa" w:w="100"/>
              <w:bottom w:type="dxa" w:w="60"/>
              <w:right w:type="dxa" w:w="100"/>
            </w:tcMar>
            <w:vAlign w:val="center"/>
          </w:tcPr>
          <w:p>
            <w:pPr>
              <w:spacing w:after="0"/>
            </w:pPr>
            <w:r>
              <w:rPr>
                <w:rFonts w:ascii="Calibri" w:cs="Calibri" w:eastAsia="Calibri" w:hAnsi="Calibri"/>
                <w:sz w:val="19"/>
                <w:szCs w:val="19"/>
              </w:rPr>
              <w:t xml:space="preserve">e)</w:t>
            </w:r>
          </w:p>
        </w:tc>
        <w:tc>
          <w:tcPr>
            <w:tcW w:type="dxa" w:w="3200"/>
            <w:tcMar>
              <w:top w:type="dxa" w:w="60"/>
              <w:left w:type="dxa" w:w="100"/>
              <w:bottom w:type="dxa" w:w="60"/>
              <w:right w:type="dxa" w:w="100"/>
            </w:tcMar>
            <w:vAlign w:val="center"/>
          </w:tcPr>
          <w:p>
            <w:pPr>
              <w:spacing w:after="0"/>
            </w:pPr>
            <w:r>
              <w:rPr>
                <w:rFonts w:ascii="Calibri" w:cs="Calibri" w:eastAsia="Calibri" w:hAnsi="Calibri"/>
                <w:sz w:val="19"/>
                <w:szCs w:val="19"/>
              </w:rPr>
              <w:t xml:space="preserve">Constitución/fusión/administración de personas morales</w:t>
            </w:r>
          </w:p>
        </w:tc>
        <w:tc>
          <w:tcPr>
            <w:tcW w:type="dxa" w:w="2700"/>
            <w:tcMar>
              <w:top w:type="dxa" w:w="60"/>
              <w:left w:type="dxa" w:w="100"/>
              <w:bottom w:type="dxa" w:w="60"/>
              <w:right w:type="dxa" w:w="100"/>
            </w:tcMar>
            <w:vAlign w:val="center"/>
          </w:tcPr>
          <w:p>
            <w:pPr>
              <w:spacing w:after="0"/>
            </w:pPr>
            <w:r>
              <w:rPr>
                <w:rFonts w:ascii="Calibri" w:cs="Calibri" w:eastAsia="Calibri" w:hAnsi="Calibri"/>
                <w:sz w:val="19"/>
                <w:szCs w:val="19"/>
              </w:rPr>
              <w:t xml:space="preserve">SIEMPRE, al preparar</w:t>
            </w:r>
          </w:p>
        </w:tc>
        <w:tc>
          <w:tcPr>
            <w:tcW w:type="dxa" w:w="2700"/>
            <w:tcMar>
              <w:top w:type="dxa" w:w="60"/>
              <w:left w:type="dxa" w:w="100"/>
              <w:bottom w:type="dxa" w:w="60"/>
              <w:right w:type="dxa" w:w="100"/>
            </w:tcMar>
            <w:vAlign w:val="center"/>
          </w:tcPr>
          <w:p>
            <w:pPr>
              <w:spacing w:after="0"/>
            </w:pPr>
            <w:r>
              <w:rPr>
                <w:rFonts w:ascii="Calibri" w:cs="Calibri" w:eastAsia="Calibri" w:hAnsi="Calibri"/>
                <w:sz w:val="19"/>
                <w:szCs w:val="19"/>
              </w:rPr>
              <w:t xml:space="preserve">Solo si actúa en representación</w:t>
            </w:r>
          </w:p>
        </w:tc>
      </w:tr>
    </w:tbl>
    <w:p>
      <w:pPr>
        <w:spacing w:after="110"/>
      </w:pPr>
      <w:r>
        <w:rPr>
          <w:rFonts w:ascii="Calibri" w:cs="Calibri" w:eastAsia="Calibri" w:hAnsi="Calibri"/>
          <w:sz w:val="20"/>
          <w:szCs w:val="20"/>
        </w:rPr>
        <w:t xml:space="preserve">Identificación en la fase de preparación (art. 12 Bis RCG): quien prepara para un cliente cualquiera de las operaciones de la fracción XI puede integrar el expediente único de identificación solamente con los datos de los Anexos 3, 4, 4 Bis, 5, 6, 6 Bis, 7 Bis u 8 de las Reglas, según el tipo de cliente, y los relativos a la identificación de su representante, apoderados o de quienes realicen el acto a nombre de la persona moral. No se acepta la cédula profesional como identificación oficial. Los registros no se llevan bajo nombres ficticios o confidenciales (art. 23 RCG). Una vez al año se verifica que los expedientes de los clientes con relación de negocios estén completos y actualizados (art. 21 RCG). Si el cliente se niega a proporcionar la información o documentación necesaria, el profesional se abstiene, sin responsabilidad alguna, de prestar el servicio u operación (art. 21 de la Ley). Cuando existan indicios de que el cliente actúa por cuenta de otra persona sin haberlo declarado, se solicita la información que permita identificar al Beneficiario Controlador (art. 22 RCG).</w:t>
      </w:r>
    </w:p>
    <w:p>
      <w:pPr>
        <w:keepNext/>
        <w:spacing w:after="90" w:before="150"/>
      </w:pPr>
      <w:r>
        <w:rPr>
          <w:rFonts w:ascii="Calibri" w:cs="Calibri" w:eastAsia="Calibri" w:hAnsi="Calibri"/>
          <w:b/>
          <w:bCs/>
          <w:sz w:val="21"/>
          <w:szCs w:val="21"/>
        </w:rPr>
        <w:t xml:space="preserve">4.2 Integración, cotejo, verificación y actualización del expediente (Arts. 12, 21 y 22 RCG)</w:t>
      </w:r>
    </w:p>
    <w:p>
      <w:pPr>
        <w:spacing w:after="110"/>
      </w:pPr>
      <w:r>
        <w:rPr>
          <w:rFonts w:ascii="Calibri" w:cs="Calibri" w:eastAsia="Calibri" w:hAnsi="Calibri"/>
          <w:sz w:val="20"/>
          <w:szCs w:val="20"/>
        </w:rPr>
        <w:t xml:space="preserve">El expediente único de identificación se integra antes del acto u operación o, a más tardar, al establecer la Relación de negocios, con los datos y documentos del Anexo de las RCG que corresponda al tipo de Cliente o Usuaria (Art. 12):</w:t>
      </w:r>
    </w:p>
    <w:tbl>
      <w:tblPr>
        <w:tblW w:type="dxa" w:w="9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200"/>
        <w:gridCol w:w="4300"/>
      </w:tblGrid>
      <w:tr>
        <w:trPr>
          <w:tblHeader/>
        </w:trPr>
        <w:tc>
          <w:tcPr>
            <w:tcW w:type="dxa" w:w="5200"/>
            <w:shd w:fill="1F3864"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Tipo de Cliente o Usuaria</w:t>
            </w:r>
          </w:p>
        </w:tc>
        <w:tc>
          <w:tcPr>
            <w:tcW w:type="dxa" w:w="4300"/>
            <w:shd w:fill="1F3864"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Anexo RCG</w:t>
            </w:r>
          </w:p>
        </w:tc>
      </w:tr>
      <w:tr>
        <w:trPr>
          <w:cantSplit/>
        </w:trPr>
        <w:tc>
          <w:tcPr>
            <w:tcW w:type="dxa" w:w="5200"/>
            <w:tcMar>
              <w:top w:type="dxa" w:w="60"/>
              <w:left w:type="dxa" w:w="100"/>
              <w:bottom w:type="dxa" w:w="60"/>
              <w:right w:type="dxa" w:w="100"/>
            </w:tcMar>
          </w:tcPr>
          <w:p>
            <w:pPr>
              <w:spacing w:after="0"/>
            </w:pPr>
            <w:r>
              <w:rPr>
                <w:rFonts w:ascii="Calibri" w:cs="Calibri" w:eastAsia="Calibri" w:hAnsi="Calibri"/>
                <w:sz w:val="18"/>
                <w:szCs w:val="18"/>
              </w:rPr>
              <w:t xml:space="preserve">Persona física mexicana, o extranjera residente temporal o permanente</w:t>
            </w:r>
          </w:p>
        </w:tc>
        <w:tc>
          <w:tcPr>
            <w:tcW w:type="dxa" w:w="4300"/>
            <w:tcMar>
              <w:top w:type="dxa" w:w="60"/>
              <w:left w:type="dxa" w:w="100"/>
              <w:bottom w:type="dxa" w:w="60"/>
              <w:right w:type="dxa" w:w="100"/>
            </w:tcMar>
          </w:tcPr>
          <w:p>
            <w:pPr>
              <w:spacing w:after="0"/>
            </w:pPr>
            <w:r>
              <w:rPr>
                <w:rFonts w:ascii="Calibri" w:cs="Calibri" w:eastAsia="Calibri" w:hAnsi="Calibri"/>
                <w:sz w:val="18"/>
                <w:szCs w:val="18"/>
              </w:rPr>
              <w:t xml:space="preserve">Anexo 3</w:t>
            </w:r>
          </w:p>
        </w:tc>
      </w:tr>
      <w:tr>
        <w:trPr>
          <w:cantSplit/>
        </w:trPr>
        <w:tc>
          <w:tcPr>
            <w:tcW w:type="dxa" w:w="5200"/>
            <w:tcMar>
              <w:top w:type="dxa" w:w="60"/>
              <w:left w:type="dxa" w:w="100"/>
              <w:bottom w:type="dxa" w:w="60"/>
              <w:right w:type="dxa" w:w="100"/>
            </w:tcMar>
          </w:tcPr>
          <w:p>
            <w:pPr>
              <w:spacing w:after="0"/>
            </w:pPr>
            <w:r>
              <w:rPr>
                <w:rFonts w:ascii="Calibri" w:cs="Calibri" w:eastAsia="Calibri" w:hAnsi="Calibri"/>
                <w:sz w:val="18"/>
                <w:szCs w:val="18"/>
              </w:rPr>
              <w:t xml:space="preserve">Persona moral mexicana</w:t>
            </w:r>
          </w:p>
        </w:tc>
        <w:tc>
          <w:tcPr>
            <w:tcW w:type="dxa" w:w="4300"/>
            <w:tcMar>
              <w:top w:type="dxa" w:w="60"/>
              <w:left w:type="dxa" w:w="100"/>
              <w:bottom w:type="dxa" w:w="60"/>
              <w:right w:type="dxa" w:w="100"/>
            </w:tcMar>
          </w:tcPr>
          <w:p>
            <w:pPr>
              <w:spacing w:after="0"/>
            </w:pPr>
            <w:r>
              <w:rPr>
                <w:rFonts w:ascii="Calibri" w:cs="Calibri" w:eastAsia="Calibri" w:hAnsi="Calibri"/>
                <w:sz w:val="18"/>
                <w:szCs w:val="18"/>
              </w:rPr>
              <w:t xml:space="preserve">Anexo 4</w:t>
            </w:r>
          </w:p>
        </w:tc>
      </w:tr>
      <w:tr>
        <w:trPr>
          <w:cantSplit/>
        </w:trPr>
        <w:tc>
          <w:tcPr>
            <w:tcW w:type="dxa" w:w="5200"/>
            <w:tcMar>
              <w:top w:type="dxa" w:w="60"/>
              <w:left w:type="dxa" w:w="100"/>
              <w:bottom w:type="dxa" w:w="60"/>
              <w:right w:type="dxa" w:w="100"/>
            </w:tcMar>
          </w:tcPr>
          <w:p>
            <w:pPr>
              <w:spacing w:after="0"/>
            </w:pPr>
            <w:r>
              <w:rPr>
                <w:rFonts w:ascii="Calibri" w:cs="Calibri" w:eastAsia="Calibri" w:hAnsi="Calibri"/>
                <w:sz w:val="18"/>
                <w:szCs w:val="18"/>
              </w:rPr>
              <w:t xml:space="preserve">Persona moral mexicana de derecho público</w:t>
            </w:r>
          </w:p>
        </w:tc>
        <w:tc>
          <w:tcPr>
            <w:tcW w:type="dxa" w:w="4300"/>
            <w:tcMar>
              <w:top w:type="dxa" w:w="60"/>
              <w:left w:type="dxa" w:w="100"/>
              <w:bottom w:type="dxa" w:w="60"/>
              <w:right w:type="dxa" w:w="100"/>
            </w:tcMar>
          </w:tcPr>
          <w:p>
            <w:pPr>
              <w:spacing w:after="0"/>
            </w:pPr>
            <w:r>
              <w:rPr>
                <w:rFonts w:ascii="Calibri" w:cs="Calibri" w:eastAsia="Calibri" w:hAnsi="Calibri"/>
                <w:sz w:val="18"/>
                <w:szCs w:val="18"/>
              </w:rPr>
              <w:t xml:space="preserve">Anexos 4 Bis, 7 y 7 Bis (según el caso)</w:t>
            </w:r>
          </w:p>
        </w:tc>
      </w:tr>
      <w:tr>
        <w:trPr>
          <w:cantSplit/>
        </w:trPr>
        <w:tc>
          <w:tcPr>
            <w:tcW w:type="dxa" w:w="5200"/>
            <w:tcMar>
              <w:top w:type="dxa" w:w="60"/>
              <w:left w:type="dxa" w:w="100"/>
              <w:bottom w:type="dxa" w:w="60"/>
              <w:right w:type="dxa" w:w="100"/>
            </w:tcMar>
          </w:tcPr>
          <w:p>
            <w:pPr>
              <w:spacing w:after="0"/>
            </w:pPr>
            <w:r>
              <w:rPr>
                <w:rFonts w:ascii="Calibri" w:cs="Calibri" w:eastAsia="Calibri" w:hAnsi="Calibri"/>
                <w:sz w:val="18"/>
                <w:szCs w:val="18"/>
              </w:rPr>
              <w:t xml:space="preserve">Persona física extranjera con condición de visitante u otra distinta</w:t>
            </w:r>
          </w:p>
        </w:tc>
        <w:tc>
          <w:tcPr>
            <w:tcW w:type="dxa" w:w="4300"/>
            <w:tcMar>
              <w:top w:type="dxa" w:w="60"/>
              <w:left w:type="dxa" w:w="100"/>
              <w:bottom w:type="dxa" w:w="60"/>
              <w:right w:type="dxa" w:w="100"/>
            </w:tcMar>
          </w:tcPr>
          <w:p>
            <w:pPr>
              <w:spacing w:after="0"/>
            </w:pPr>
            <w:r>
              <w:rPr>
                <w:rFonts w:ascii="Calibri" w:cs="Calibri" w:eastAsia="Calibri" w:hAnsi="Calibri"/>
                <w:sz w:val="18"/>
                <w:szCs w:val="18"/>
              </w:rPr>
              <w:t xml:space="preserve">Anexo 5</w:t>
            </w:r>
          </w:p>
        </w:tc>
      </w:tr>
      <w:tr>
        <w:trPr>
          <w:cantSplit/>
        </w:trPr>
        <w:tc>
          <w:tcPr>
            <w:tcW w:type="dxa" w:w="5200"/>
            <w:tcMar>
              <w:top w:type="dxa" w:w="60"/>
              <w:left w:type="dxa" w:w="100"/>
              <w:bottom w:type="dxa" w:w="60"/>
              <w:right w:type="dxa" w:w="100"/>
            </w:tcMar>
          </w:tcPr>
          <w:p>
            <w:pPr>
              <w:spacing w:after="0"/>
            </w:pPr>
            <w:r>
              <w:rPr>
                <w:rFonts w:ascii="Calibri" w:cs="Calibri" w:eastAsia="Calibri" w:hAnsi="Calibri"/>
                <w:sz w:val="18"/>
                <w:szCs w:val="18"/>
              </w:rPr>
              <w:t xml:space="preserve">Persona moral extranjera</w:t>
            </w:r>
          </w:p>
        </w:tc>
        <w:tc>
          <w:tcPr>
            <w:tcW w:type="dxa" w:w="4300"/>
            <w:tcMar>
              <w:top w:type="dxa" w:w="60"/>
              <w:left w:type="dxa" w:w="100"/>
              <w:bottom w:type="dxa" w:w="60"/>
              <w:right w:type="dxa" w:w="100"/>
            </w:tcMar>
          </w:tcPr>
          <w:p>
            <w:pPr>
              <w:spacing w:after="0"/>
            </w:pPr>
            <w:r>
              <w:rPr>
                <w:rFonts w:ascii="Calibri" w:cs="Calibri" w:eastAsia="Calibri" w:hAnsi="Calibri"/>
                <w:sz w:val="18"/>
                <w:szCs w:val="18"/>
              </w:rPr>
              <w:t xml:space="preserve">Anexo 6</w:t>
            </w:r>
          </w:p>
        </w:tc>
      </w:tr>
      <w:tr>
        <w:trPr>
          <w:cantSplit/>
        </w:trPr>
        <w:tc>
          <w:tcPr>
            <w:tcW w:type="dxa" w:w="5200"/>
            <w:tcMar>
              <w:top w:type="dxa" w:w="60"/>
              <w:left w:type="dxa" w:w="100"/>
              <w:bottom w:type="dxa" w:w="60"/>
              <w:right w:type="dxa" w:w="100"/>
            </w:tcMar>
          </w:tcPr>
          <w:p>
            <w:pPr>
              <w:spacing w:after="0"/>
            </w:pPr>
            <w:r>
              <w:rPr>
                <w:rFonts w:ascii="Calibri" w:cs="Calibri" w:eastAsia="Calibri" w:hAnsi="Calibri"/>
                <w:sz w:val="18"/>
                <w:szCs w:val="18"/>
              </w:rPr>
              <w:t xml:space="preserve">Embajada, consulado u organismo internacional</w:t>
            </w:r>
          </w:p>
        </w:tc>
        <w:tc>
          <w:tcPr>
            <w:tcW w:type="dxa" w:w="4300"/>
            <w:tcMar>
              <w:top w:type="dxa" w:w="60"/>
              <w:left w:type="dxa" w:w="100"/>
              <w:bottom w:type="dxa" w:w="60"/>
              <w:right w:type="dxa" w:w="100"/>
            </w:tcMar>
          </w:tcPr>
          <w:p>
            <w:pPr>
              <w:spacing w:after="0"/>
            </w:pPr>
            <w:r>
              <w:rPr>
                <w:rFonts w:ascii="Calibri" w:cs="Calibri" w:eastAsia="Calibri" w:hAnsi="Calibri"/>
                <w:sz w:val="18"/>
                <w:szCs w:val="18"/>
              </w:rPr>
              <w:t xml:space="preserve">Anexo 6 Bis</w:t>
            </w:r>
          </w:p>
        </w:tc>
      </w:tr>
      <w:tr>
        <w:trPr>
          <w:cantSplit/>
        </w:trPr>
        <w:tc>
          <w:tcPr>
            <w:tcW w:type="dxa" w:w="5200"/>
            <w:tcMar>
              <w:top w:type="dxa" w:w="60"/>
              <w:left w:type="dxa" w:w="100"/>
              <w:bottom w:type="dxa" w:w="60"/>
              <w:right w:type="dxa" w:w="100"/>
            </w:tcMar>
          </w:tcPr>
          <w:p>
            <w:pPr>
              <w:spacing w:after="0"/>
            </w:pPr>
            <w:r>
              <w:rPr>
                <w:rFonts w:ascii="Calibri" w:cs="Calibri" w:eastAsia="Calibri" w:hAnsi="Calibri"/>
                <w:sz w:val="18"/>
                <w:szCs w:val="18"/>
              </w:rPr>
              <w:t xml:space="preserve">Fideicomiso</w:t>
            </w:r>
          </w:p>
        </w:tc>
        <w:tc>
          <w:tcPr>
            <w:tcW w:type="dxa" w:w="4300"/>
            <w:tcMar>
              <w:top w:type="dxa" w:w="60"/>
              <w:left w:type="dxa" w:w="100"/>
              <w:bottom w:type="dxa" w:w="60"/>
              <w:right w:type="dxa" w:w="100"/>
            </w:tcMar>
          </w:tcPr>
          <w:p>
            <w:pPr>
              <w:spacing w:after="0"/>
            </w:pPr>
            <w:r>
              <w:rPr>
                <w:rFonts w:ascii="Calibri" w:cs="Calibri" w:eastAsia="Calibri" w:hAnsi="Calibri"/>
                <w:sz w:val="18"/>
                <w:szCs w:val="18"/>
              </w:rPr>
              <w:t xml:space="preserve">Anexo 8</w:t>
            </w:r>
          </w:p>
        </w:tc>
      </w:tr>
      <w:tr>
        <w:trPr>
          <w:cantSplit/>
        </w:trPr>
        <w:tc>
          <w:tcPr>
            <w:tcW w:type="dxa" w:w="5200"/>
            <w:tcMar>
              <w:top w:type="dxa" w:w="60"/>
              <w:left w:type="dxa" w:w="100"/>
              <w:bottom w:type="dxa" w:w="60"/>
              <w:right w:type="dxa" w:w="100"/>
            </w:tcMar>
          </w:tcPr>
          <w:p>
            <w:pPr>
              <w:spacing w:after="0"/>
            </w:pPr>
            <w:r>
              <w:rPr>
                <w:rFonts w:ascii="Calibri" w:cs="Calibri" w:eastAsia="Calibri" w:hAnsi="Calibri"/>
                <w:sz w:val="18"/>
                <w:szCs w:val="18"/>
              </w:rPr>
              <w:t xml:space="preserve">Otra figura o estructura jurídica sin personalidad propia</w:t>
            </w:r>
          </w:p>
        </w:tc>
        <w:tc>
          <w:tcPr>
            <w:tcW w:type="dxa" w:w="4300"/>
            <w:tcMar>
              <w:top w:type="dxa" w:w="60"/>
              <w:left w:type="dxa" w:w="100"/>
              <w:bottom w:type="dxa" w:w="60"/>
              <w:right w:type="dxa" w:w="100"/>
            </w:tcMar>
          </w:tcPr>
          <w:p>
            <w:pPr>
              <w:spacing w:after="0"/>
            </w:pPr>
            <w:r>
              <w:rPr>
                <w:rFonts w:ascii="Calibri" w:cs="Calibri" w:eastAsia="Calibri" w:hAnsi="Calibri"/>
                <w:sz w:val="18"/>
                <w:szCs w:val="18"/>
              </w:rPr>
              <w:t xml:space="preserve">Criterio del Programa: datos del Anexo 8 aplicables por analogía, instrumento que le da origen e identificación de quienes la administran o controlan</w:t>
            </w:r>
          </w:p>
        </w:tc>
      </w:tr>
    </w:tbl>
    <w:p>
      <w:pPr>
        <w:spacing w:after="80"/>
      </w:pPr>
    </w:p>
    <w:p>
      <w:pPr>
        <w:spacing w:after="70"/>
      </w:pPr>
      <w:r>
        <w:rPr>
          <w:rFonts w:ascii="Calibri" w:cs="Calibri" w:eastAsia="Calibri" w:hAnsi="Calibri"/>
          <w:sz w:val="20"/>
          <w:szCs w:val="20"/>
        </w:rPr>
        <w:t xml:space="preserve">• Cotejo: las copias se cotejan contra el original o contra copia certificada; en el expediente se asienta la fecha y quién realizó el cotejo. No se acepta la cédula profesional como identificación oficial.</w:t>
      </w:r>
    </w:p>
    <w:p>
      <w:pPr>
        <w:spacing w:after="70"/>
      </w:pPr>
      <w:r>
        <w:rPr>
          <w:rFonts w:ascii="Calibri" w:cs="Calibri" w:eastAsia="Calibri" w:hAnsi="Calibri"/>
          <w:sz w:val="20"/>
          <w:szCs w:val="20"/>
        </w:rPr>
        <w:t xml:space="preserve">• Verificación: se verifica la vigencia de la identificación oficial y la congruencia de los datos (CURP, RFC, domicilio, fecha de nacimiento o constitución) con los documentos y con las fuentes oficiales disponibles. Cualquier inconsistencia se aclara antes del acto; si no se aclara, se aplican los criterios de abstención de este Manual.</w:t>
      </w:r>
    </w:p>
    <w:p>
      <w:pPr>
        <w:spacing w:after="70"/>
      </w:pPr>
      <w:r>
        <w:rPr>
          <w:rFonts w:ascii="Calibri" w:cs="Calibri" w:eastAsia="Calibri" w:hAnsi="Calibri"/>
          <w:sz w:val="20"/>
          <w:szCs w:val="20"/>
        </w:rPr>
        <w:t xml:space="preserve">• Actualización: al menos una vez al año se verifica que los expedientes de los clientes con Relación de negocios estén completos y actualizados, con comprobante de domicilio no mayor a tres meses cuando el Anexo lo exija (Art. 21). Además, el expediente se actualiza cuando cambie significativamente el Perfil Transaccional (Art. 23 Ter, fr. IV), cuando se reclasifique el Grado de Riesgo y, para clientes de Riesgo alto, en cada reevaluación semestral (criterio del Programa).</w:t>
      </w:r>
    </w:p>
    <w:p>
      <w:pPr>
        <w:spacing w:after="70"/>
      </w:pPr>
      <w:r>
        <w:rPr>
          <w:rFonts w:ascii="Calibri" w:cs="Calibri" w:eastAsia="Calibri" w:hAnsi="Calibri"/>
          <w:sz w:val="20"/>
          <w:szCs w:val="20"/>
        </w:rPr>
        <w:t xml:space="preserve">• Actuación por cuenta de otra persona: si hay indicios o hechos de que el cliente actúa por cuenta de un tercero no declarado, se le solicita la información para identificar al Beneficiario Controlador (Art. 22).</w:t>
      </w:r>
    </w:p>
    <w:p>
      <w:pPr>
        <w:spacing w:after="70"/>
      </w:pPr>
      <w:r>
        <w:rPr>
          <w:rFonts w:ascii="Calibri" w:cs="Calibri" w:eastAsia="Calibri" w:hAnsi="Calibri"/>
          <w:sz w:val="20"/>
          <w:szCs w:val="20"/>
        </w:rPr>
        <w:t xml:space="preserve">• En la fase de preparación de un servicio, el expediente puede integrarse solo con los datos de los Anexos que señala el art. 12 Bis RCG; se completa antes de actuar en representación del cliente.</w:t>
      </w:r>
    </w:p>
    <w:p>
      <w:pPr>
        <w:spacing w:after="70"/>
      </w:pPr>
      <w:r>
        <w:rPr>
          <w:rFonts w:ascii="Calibri" w:cs="Calibri" w:eastAsia="Calibri" w:hAnsi="Calibri"/>
          <w:sz w:val="20"/>
          <w:szCs w:val="20"/>
        </w:rPr>
        <w:t xml:space="preserve">• Formatos y lista de verificación del expediente: Documento D7-PROF.</w:t>
      </w:r>
    </w:p>
    <w:p>
      <w:pPr>
        <w:shd w:fill="1F3864" w:val="clear"/>
        <w:spacing w:after="100" w:before="220"/>
      </w:pPr>
      <w:r>
        <w:rPr>
          <w:rFonts w:ascii="Calibri" w:cs="Calibri" w:eastAsia="Calibri" w:hAnsi="Calibri"/>
          <w:b/>
          <w:bCs/>
          <w:color w:val="FFFFFF"/>
          <w:sz w:val="22"/>
          <w:szCs w:val="22"/>
        </w:rPr>
        <w:t xml:space="preserve">Capítulo 5: Enfoque Basado en Riesgo (EBR)</w:t>
      </w:r>
    </w:p>
    <w:p>
      <w:pPr>
        <w:spacing w:after="110"/>
      </w:pPr>
      <w:r>
        <w:rPr>
          <w:rFonts w:ascii="Calibri" w:cs="Calibri" w:eastAsia="Calibri" w:hAnsi="Calibri"/>
          <w:sz w:val="21"/>
          <w:szCs w:val="21"/>
        </w:rPr>
        <w:t xml:space="preserve">El profesional o despacho clasifica a sus clientes en tres niveles de riesgo (BAJO, MEDIO, ALTO) utilizando la Metodología EBR del Documento D6-PROF. A diferencia de otras variantes, el monto NO determina la obligación de aviso — solo es un indicador de riesgo dentro de la EBR.</w:t>
      </w:r>
    </w:p>
    <w:p>
      <w:pPr>
        <w:spacing w:after="110"/>
      </w:pPr>
      <w:r>
        <w:rPr>
          <w:rFonts w:ascii="Calibri" w:cs="Calibri" w:eastAsia="Calibri" w:hAnsi="Calibri"/>
          <w:sz w:val="20"/>
          <w:szCs w:val="20"/>
        </w:rPr>
        <w:t xml:space="preserve">Modelo de riesgo (arts. 23 Bis a 23 Bis 4 RCG). El modelo clasifica a cada cliente en Grado de Riesgo bajo, medio o alto, considerando como mínimo características inherentes (tipo de persona, giro, nacionalidad, residencia, fuentes de ingreso, naturaleza y propósito de la relación) y características transaccionales (tipo, volumen, frecuencia y monto de los servicios, contrapartes, origen y destino de los recursos). Se clasifican como riesgo alto, al menos, los clientes no residentes vinculados con jurisdicciones de régimen fiscal preferente o con deficiencias señaladas por organismos internacionales, y las Personas Políticamente Expuestas extranjeras (art. 23 Bis 4); para los PEP nacionales se determinan factores de riesgo adicionales (art. 23 Bis 3). El Grado de Riesgo se determina con la información del cliente y se reevalúa al menos cada seis meses, con mayor frecuencia a mayor riesgo (art. 23 Bis 1).</w:t>
      </w:r>
    </w:p>
    <w:p>
      <w:pPr>
        <w:spacing w:after="110"/>
      </w:pPr>
      <w:r>
        <w:rPr>
          <w:rFonts w:ascii="Calibri" w:cs="Calibri" w:eastAsia="Calibri" w:hAnsi="Calibri"/>
          <w:sz w:val="20"/>
          <w:szCs w:val="20"/>
        </w:rPr>
        <w:t xml:space="preserve">Medidas de debida diligencia por Grado de Riesgo. Riesgo bajo: medidas simplificadas (art. 17 RCG) con los datos mínimos de los Anexos, conforme a los criterios de la sección 5.2. Riesgo medio: expediente de identificación completo conforme al art. 12 RCG (art. 17 Bis). Riesgo alto: debida diligencia reforzada (arts. 23 Ter 3 y 23 Ter 4 RCG): mayor información sobre el origen y destino de los recursos, cuestionario de identificación reforzada (Anexo B) y monitoreo más estricto; si el cliente es además PEP, se requiere la aprobación o constancia de la sección 5.3 (art. 23 Ter 5). Los criterios para aceptar, limitar o terminar la relación se describen en el capítulo 17.</w:t>
      </w:r>
    </w:p>
    <w:p>
      <w:pPr>
        <w:keepNext/>
        <w:spacing w:after="90" w:before="150"/>
      </w:pPr>
      <w:r>
        <w:rPr>
          <w:rFonts w:ascii="Calibri" w:cs="Calibri" w:eastAsia="Calibri" w:hAnsi="Calibri"/>
          <w:b/>
          <w:bCs/>
          <w:sz w:val="21"/>
          <w:szCs w:val="21"/>
        </w:rPr>
        <w:t xml:space="preserve">5.1 Evaluación de los Riesgos del profesional o despacho como sujeto obligado (Arts. 10 Septies a 10 Septies 3 RCG)</w:t>
      </w:r>
    </w:p>
    <w:p>
      <w:pPr>
        <w:spacing w:after="110"/>
      </w:pPr>
      <w:r>
        <w:rPr>
          <w:rFonts w:ascii="Calibri" w:cs="Calibri" w:eastAsia="Calibri" w:hAnsi="Calibri"/>
          <w:sz w:val="20"/>
          <w:szCs w:val="20"/>
        </w:rPr>
        <w:t xml:space="preserve">Además de clasificar a cada Cliente o Usuaria, el profesional o despacho evalúa, al menos una vez al año, los Riesgos a los que se expone por los actos u operaciones que realiza, sus Clientes o Usuarias, las áreas geográficas y los canales de envío o distribución. El resultado es el nivel de Riesgo del profesional o despacho (bajo, medio o alto), que se utiliza para fijar su tolerancia al Riesgo y para determinar quién puede emitir el dictamen de auditoría (Arts. 44 y 45 RCG; capítulo 12). Esta sección forma parte de la metodología de evaluación de Riesgos, junto con el Documento D6-PROF.</w:t>
      </w:r>
    </w:p>
    <w:p>
      <w:pPr>
        <w:spacing w:after="70"/>
      </w:pPr>
      <w:r>
        <w:rPr>
          <w:rFonts w:ascii="Calibri" w:cs="Calibri" w:eastAsia="Calibri" w:hAnsi="Calibri"/>
          <w:sz w:val="20"/>
          <w:szCs w:val="20"/>
        </w:rPr>
        <w:t xml:space="preserve">• </w:t>
      </w:r>
      <w:r>
        <w:rPr>
          <w:rFonts w:ascii="Calibri" w:cs="Calibri" w:eastAsia="Calibri" w:hAnsi="Calibri"/>
          <w:b/>
          <w:bCs/>
          <w:sz w:val="20"/>
          <w:szCs w:val="20"/>
        </w:rPr>
        <w:t xml:space="preserve">Datos.</w:t>
      </w:r>
      <w:r>
        <w:rPr>
          <w:rFonts w:ascii="Calibri" w:cs="Calibri" w:eastAsia="Calibri" w:hAnsi="Calibri"/>
          <w:sz w:val="20"/>
          <w:szCs w:val="20"/>
        </w:rPr>
        <w:t xml:space="preserve"> Total de Clientes o Usuarias, número de servicios u operaciones y monto operado de los últimos doce meses — o proyectados, si aún no hay historial, con actualización al cumplir doce meses —, desglosados por tipo de acto, tipo de cliente (persona física, moral o fideicomiso; nacional o extranjero; PEP), entidad federativa, forma de pago y canal. Los datos deben ser consistentes con los mecanismos automatizados (Art. 10 Septies 2 RCG).</w:t>
      </w:r>
    </w:p>
    <w:p>
      <w:pPr>
        <w:spacing w:after="70"/>
      </w:pPr>
      <w:r>
        <w:rPr>
          <w:rFonts w:ascii="Calibri" w:cs="Calibri" w:eastAsia="Calibri" w:hAnsi="Calibri"/>
          <w:sz w:val="20"/>
          <w:szCs w:val="20"/>
        </w:rPr>
        <w:t xml:space="preserve">• </w:t>
      </w:r>
      <w:r>
        <w:rPr>
          <w:rFonts w:ascii="Calibri" w:cs="Calibri" w:eastAsia="Calibri" w:hAnsi="Calibri"/>
          <w:b/>
          <w:bCs/>
          <w:sz w:val="20"/>
          <w:szCs w:val="20"/>
        </w:rPr>
        <w:t xml:space="preserve">Riesgo inherente.</w:t>
      </w:r>
      <w:r>
        <w:rPr>
          <w:rFonts w:ascii="Calibri" w:cs="Calibri" w:eastAsia="Calibri" w:hAnsi="Calibri"/>
          <w:sz w:val="20"/>
          <w:szCs w:val="20"/>
        </w:rPr>
        <w:t xml:space="preserve"> Cada uno de los cuatro elementos se califica de 1 (bajo) a 3 (alto) con los indicadores de la Metodología EBR aplicados a la cartera en su conjunto, considerando la Evaluación Nacional de Riesgos y sus actualizaciones, así como indicadores específicos de financiamiento al terrorismo y de lavado de dinero (Arts. 139 Quáter y 400 Bis del Código Penal Federal).</w:t>
      </w:r>
    </w:p>
    <w:p>
      <w:pPr>
        <w:spacing w:after="70"/>
      </w:pPr>
      <w:r>
        <w:rPr>
          <w:rFonts w:ascii="Calibri" w:cs="Calibri" w:eastAsia="Calibri" w:hAnsi="Calibri"/>
          <w:sz w:val="20"/>
          <w:szCs w:val="20"/>
        </w:rPr>
        <w:t xml:space="preserve">• </w:t>
      </w:r>
      <w:r>
        <w:rPr>
          <w:rFonts w:ascii="Calibri" w:cs="Calibri" w:eastAsia="Calibri" w:hAnsi="Calibri"/>
          <w:b/>
          <w:bCs/>
          <w:sz w:val="20"/>
          <w:szCs w:val="20"/>
        </w:rPr>
        <w:t xml:space="preserve">Mitigantes.</w:t>
      </w:r>
      <w:r>
        <w:rPr>
          <w:rFonts w:ascii="Calibri" w:cs="Calibri" w:eastAsia="Calibri" w:hAnsi="Calibri"/>
          <w:sz w:val="20"/>
          <w:szCs w:val="20"/>
        </w:rPr>
        <w:t xml:space="preserve"> Se califica la eficacia de los Mitigantes de cada elemento con base en la evidencia de su aplicación (supervisión interna y auditoría): efectivo (reduce un nivel), parcialmente efectivo (reduce medio nivel) o no efectivo (no reduce). El Riesgo residual de un elemento nunca es menor que 1.</w:t>
      </w:r>
    </w:p>
    <w:p>
      <w:pPr>
        <w:spacing w:after="70"/>
      </w:pPr>
      <w:r>
        <w:rPr>
          <w:rFonts w:ascii="Calibri" w:cs="Calibri" w:eastAsia="Calibri" w:hAnsi="Calibri"/>
          <w:sz w:val="20"/>
          <w:szCs w:val="20"/>
        </w:rPr>
        <w:t xml:space="preserve">• </w:t>
      </w:r>
      <w:r>
        <w:rPr>
          <w:rFonts w:ascii="Calibri" w:cs="Calibri" w:eastAsia="Calibri" w:hAnsi="Calibri"/>
          <w:b/>
          <w:bCs/>
          <w:sz w:val="20"/>
          <w:szCs w:val="20"/>
        </w:rPr>
        <w:t xml:space="preserve">Nivel de Riesgo del profesional o despacho.</w:t>
      </w:r>
      <w:r>
        <w:rPr>
          <w:rFonts w:ascii="Calibri" w:cs="Calibri" w:eastAsia="Calibri" w:hAnsi="Calibri"/>
          <w:sz w:val="20"/>
          <w:szCs w:val="20"/>
        </w:rPr>
        <w:t xml:space="preserve"> Promedio de los Riesgos residuales con igual ponderación para los cuatro elementos: de 1.00 a 1.66, bajo; de 1.67 a 2.33, medio; más de 2.33, alto (criterio del Programa).</w:t>
      </w:r>
    </w:p>
    <w:tbl>
      <w:tblPr>
        <w:tblW w:type="dxa" w:w="9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1000"/>
        <w:gridCol w:w="1700"/>
        <w:gridCol w:w="1800"/>
        <w:gridCol w:w="1700"/>
      </w:tblGrid>
      <w:tr>
        <w:trPr>
          <w:tblHeader/>
        </w:trPr>
        <w:tc>
          <w:tcPr>
            <w:tcW w:type="dxa" w:w="3300"/>
            <w:shd w:fill="1F3864"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Elemento de Riesgo</w:t>
            </w:r>
          </w:p>
        </w:tc>
        <w:tc>
          <w:tcPr>
            <w:tcW w:type="dxa" w:w="1000"/>
            <w:shd w:fill="1F3864"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Peso</w:t>
            </w:r>
          </w:p>
        </w:tc>
        <w:tc>
          <w:tcPr>
            <w:tcW w:type="dxa" w:w="1700"/>
            <w:shd w:fill="1F3864"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Riesgo inherente (1–3)</w:t>
            </w:r>
          </w:p>
        </w:tc>
        <w:tc>
          <w:tcPr>
            <w:tcW w:type="dxa" w:w="1800"/>
            <w:shd w:fill="1F3864"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Eficacia de Mitigantes</w:t>
            </w:r>
          </w:p>
        </w:tc>
        <w:tc>
          <w:tcPr>
            <w:tcW w:type="dxa" w:w="1700"/>
            <w:shd w:fill="1F3864"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Riesgo residual (1–3)</w:t>
            </w:r>
          </w:p>
        </w:tc>
      </w:tr>
      <w:tr>
        <w:trPr>
          <w:cantSplit/>
        </w:trPr>
        <w:tc>
          <w:tcPr>
            <w:tcW w:type="dxa" w:w="3300"/>
            <w:tcMar>
              <w:top w:type="dxa" w:w="60"/>
              <w:left w:type="dxa" w:w="100"/>
              <w:bottom w:type="dxa" w:w="60"/>
              <w:right w:type="dxa" w:w="100"/>
            </w:tcMar>
          </w:tcPr>
          <w:p>
            <w:pPr>
              <w:spacing w:after="0"/>
            </w:pPr>
            <w:r>
              <w:rPr>
                <w:rFonts w:ascii="Calibri" w:cs="Calibri" w:eastAsia="Calibri" w:hAnsi="Calibri"/>
                <w:sz w:val="18"/>
                <w:szCs w:val="18"/>
              </w:rPr>
              <w:t xml:space="preserve">A. Actos u operaciones</w:t>
            </w:r>
          </w:p>
        </w:tc>
        <w:tc>
          <w:tcPr>
            <w:tcW w:type="dxa" w:w="1000"/>
            <w:tcMar>
              <w:top w:type="dxa" w:w="60"/>
              <w:left w:type="dxa" w:w="100"/>
              <w:bottom w:type="dxa" w:w="60"/>
              <w:right w:type="dxa" w:w="100"/>
            </w:tcMar>
          </w:tcPr>
          <w:p>
            <w:pPr>
              <w:spacing w:after="0"/>
            </w:pPr>
            <w:r>
              <w:rPr>
                <w:rFonts w:ascii="Calibri" w:cs="Calibri" w:eastAsia="Calibri" w:hAnsi="Calibri"/>
                <w:sz w:val="18"/>
                <w:szCs w:val="18"/>
              </w:rPr>
              <w:t xml:space="preserve">×1.0</w:t>
            </w:r>
          </w:p>
        </w:tc>
        <w:tc>
          <w:tcPr>
            <w:tcW w:type="dxa" w:w="1700"/>
            <w:tcMar>
              <w:top w:type="dxa" w:w="60"/>
              <w:left w:type="dxa" w:w="100"/>
              <w:bottom w:type="dxa" w:w="60"/>
              <w:right w:type="dxa" w:w="100"/>
            </w:tcMar>
          </w:tcPr>
          <w:p>
            <w:pPr>
              <w:spacing w:after="0"/>
            </w:pPr>
            <w:r>
              <w:rPr>
                <w:rFonts w:ascii="Calibri" w:cs="Calibri" w:eastAsia="Calibri" w:hAnsi="Calibri"/>
                <w:sz w:val="18"/>
                <w:szCs w:val="18"/>
              </w:rPr>
              <w:t xml:space="preserve">[ ]</w:t>
            </w:r>
          </w:p>
        </w:tc>
        <w:tc>
          <w:tcPr>
            <w:tcW w:type="dxa" w:w="1800"/>
            <w:tcMar>
              <w:top w:type="dxa" w:w="60"/>
              <w:left w:type="dxa" w:w="100"/>
              <w:bottom w:type="dxa" w:w="60"/>
              <w:right w:type="dxa" w:w="100"/>
            </w:tcMar>
          </w:tcPr>
          <w:p>
            <w:pPr>
              <w:spacing w:after="0"/>
            </w:pPr>
            <w:r>
              <w:rPr>
                <w:rFonts w:ascii="Calibri" w:cs="Calibri" w:eastAsia="Calibri" w:hAnsi="Calibri"/>
                <w:sz w:val="18"/>
                <w:szCs w:val="18"/>
              </w:rPr>
              <w:t xml:space="preserve">[ ]</w:t>
            </w:r>
          </w:p>
        </w:tc>
        <w:tc>
          <w:tcPr>
            <w:tcW w:type="dxa" w:w="1700"/>
            <w:tcMar>
              <w:top w:type="dxa" w:w="60"/>
              <w:left w:type="dxa" w:w="100"/>
              <w:bottom w:type="dxa" w:w="60"/>
              <w:right w:type="dxa" w:w="100"/>
            </w:tcMar>
          </w:tcPr>
          <w:p>
            <w:pPr>
              <w:spacing w:after="0"/>
            </w:pPr>
            <w:r>
              <w:rPr>
                <w:rFonts w:ascii="Calibri" w:cs="Calibri" w:eastAsia="Calibri" w:hAnsi="Calibri"/>
                <w:sz w:val="18"/>
                <w:szCs w:val="18"/>
              </w:rPr>
              <w:t xml:space="preserve">[ ]</w:t>
            </w:r>
          </w:p>
        </w:tc>
      </w:tr>
      <w:tr>
        <w:trPr>
          <w:cantSplit/>
        </w:trPr>
        <w:tc>
          <w:tcPr>
            <w:tcW w:type="dxa" w:w="3300"/>
            <w:tcMar>
              <w:top w:type="dxa" w:w="60"/>
              <w:left w:type="dxa" w:w="100"/>
              <w:bottom w:type="dxa" w:w="60"/>
              <w:right w:type="dxa" w:w="100"/>
            </w:tcMar>
          </w:tcPr>
          <w:p>
            <w:pPr>
              <w:spacing w:after="0"/>
            </w:pPr>
            <w:r>
              <w:rPr>
                <w:rFonts w:ascii="Calibri" w:cs="Calibri" w:eastAsia="Calibri" w:hAnsi="Calibri"/>
                <w:sz w:val="18"/>
                <w:szCs w:val="18"/>
              </w:rPr>
              <w:t xml:space="preserve">B. Tipo de Clientes o Usuarias</w:t>
            </w:r>
          </w:p>
        </w:tc>
        <w:tc>
          <w:tcPr>
            <w:tcW w:type="dxa" w:w="1000"/>
            <w:tcMar>
              <w:top w:type="dxa" w:w="60"/>
              <w:left w:type="dxa" w:w="100"/>
              <w:bottom w:type="dxa" w:w="60"/>
              <w:right w:type="dxa" w:w="100"/>
            </w:tcMar>
          </w:tcPr>
          <w:p>
            <w:pPr>
              <w:spacing w:after="0"/>
            </w:pPr>
            <w:r>
              <w:rPr>
                <w:rFonts w:ascii="Calibri" w:cs="Calibri" w:eastAsia="Calibri" w:hAnsi="Calibri"/>
                <w:sz w:val="18"/>
                <w:szCs w:val="18"/>
              </w:rPr>
              <w:t xml:space="preserve">×1.0</w:t>
            </w:r>
          </w:p>
        </w:tc>
        <w:tc>
          <w:tcPr>
            <w:tcW w:type="dxa" w:w="1700"/>
            <w:tcMar>
              <w:top w:type="dxa" w:w="60"/>
              <w:left w:type="dxa" w:w="100"/>
              <w:bottom w:type="dxa" w:w="60"/>
              <w:right w:type="dxa" w:w="100"/>
            </w:tcMar>
          </w:tcPr>
          <w:p>
            <w:pPr>
              <w:spacing w:after="0"/>
            </w:pPr>
            <w:r>
              <w:rPr>
                <w:rFonts w:ascii="Calibri" w:cs="Calibri" w:eastAsia="Calibri" w:hAnsi="Calibri"/>
                <w:sz w:val="18"/>
                <w:szCs w:val="18"/>
              </w:rPr>
              <w:t xml:space="preserve">[ ]</w:t>
            </w:r>
          </w:p>
        </w:tc>
        <w:tc>
          <w:tcPr>
            <w:tcW w:type="dxa" w:w="1800"/>
            <w:tcMar>
              <w:top w:type="dxa" w:w="60"/>
              <w:left w:type="dxa" w:w="100"/>
              <w:bottom w:type="dxa" w:w="60"/>
              <w:right w:type="dxa" w:w="100"/>
            </w:tcMar>
          </w:tcPr>
          <w:p>
            <w:pPr>
              <w:spacing w:after="0"/>
            </w:pPr>
            <w:r>
              <w:rPr>
                <w:rFonts w:ascii="Calibri" w:cs="Calibri" w:eastAsia="Calibri" w:hAnsi="Calibri"/>
                <w:sz w:val="18"/>
                <w:szCs w:val="18"/>
              </w:rPr>
              <w:t xml:space="preserve">[ ]</w:t>
            </w:r>
          </w:p>
        </w:tc>
        <w:tc>
          <w:tcPr>
            <w:tcW w:type="dxa" w:w="1700"/>
            <w:tcMar>
              <w:top w:type="dxa" w:w="60"/>
              <w:left w:type="dxa" w:w="100"/>
              <w:bottom w:type="dxa" w:w="60"/>
              <w:right w:type="dxa" w:w="100"/>
            </w:tcMar>
          </w:tcPr>
          <w:p>
            <w:pPr>
              <w:spacing w:after="0"/>
            </w:pPr>
            <w:r>
              <w:rPr>
                <w:rFonts w:ascii="Calibri" w:cs="Calibri" w:eastAsia="Calibri" w:hAnsi="Calibri"/>
                <w:sz w:val="18"/>
                <w:szCs w:val="18"/>
              </w:rPr>
              <w:t xml:space="preserve">[ ]</w:t>
            </w:r>
          </w:p>
        </w:tc>
      </w:tr>
      <w:tr>
        <w:trPr>
          <w:cantSplit/>
        </w:trPr>
        <w:tc>
          <w:tcPr>
            <w:tcW w:type="dxa" w:w="3300"/>
            <w:tcMar>
              <w:top w:type="dxa" w:w="60"/>
              <w:left w:type="dxa" w:w="100"/>
              <w:bottom w:type="dxa" w:w="60"/>
              <w:right w:type="dxa" w:w="100"/>
            </w:tcMar>
          </w:tcPr>
          <w:p>
            <w:pPr>
              <w:spacing w:after="0"/>
            </w:pPr>
            <w:r>
              <w:rPr>
                <w:rFonts w:ascii="Calibri" w:cs="Calibri" w:eastAsia="Calibri" w:hAnsi="Calibri"/>
                <w:sz w:val="18"/>
                <w:szCs w:val="18"/>
              </w:rPr>
              <w:t xml:space="preserve">C. Países y áreas geográficas</w:t>
            </w:r>
          </w:p>
        </w:tc>
        <w:tc>
          <w:tcPr>
            <w:tcW w:type="dxa" w:w="1000"/>
            <w:tcMar>
              <w:top w:type="dxa" w:w="60"/>
              <w:left w:type="dxa" w:w="100"/>
              <w:bottom w:type="dxa" w:w="60"/>
              <w:right w:type="dxa" w:w="100"/>
            </w:tcMar>
          </w:tcPr>
          <w:p>
            <w:pPr>
              <w:spacing w:after="0"/>
            </w:pPr>
            <w:r>
              <w:rPr>
                <w:rFonts w:ascii="Calibri" w:cs="Calibri" w:eastAsia="Calibri" w:hAnsi="Calibri"/>
                <w:sz w:val="18"/>
                <w:szCs w:val="18"/>
              </w:rPr>
              <w:t xml:space="preserve">×1.0</w:t>
            </w:r>
          </w:p>
        </w:tc>
        <w:tc>
          <w:tcPr>
            <w:tcW w:type="dxa" w:w="1700"/>
            <w:tcMar>
              <w:top w:type="dxa" w:w="60"/>
              <w:left w:type="dxa" w:w="100"/>
              <w:bottom w:type="dxa" w:w="60"/>
              <w:right w:type="dxa" w:w="100"/>
            </w:tcMar>
          </w:tcPr>
          <w:p>
            <w:pPr>
              <w:spacing w:after="0"/>
            </w:pPr>
            <w:r>
              <w:rPr>
                <w:rFonts w:ascii="Calibri" w:cs="Calibri" w:eastAsia="Calibri" w:hAnsi="Calibri"/>
                <w:sz w:val="18"/>
                <w:szCs w:val="18"/>
              </w:rPr>
              <w:t xml:space="preserve">[ ]</w:t>
            </w:r>
          </w:p>
        </w:tc>
        <w:tc>
          <w:tcPr>
            <w:tcW w:type="dxa" w:w="1800"/>
            <w:tcMar>
              <w:top w:type="dxa" w:w="60"/>
              <w:left w:type="dxa" w:w="100"/>
              <w:bottom w:type="dxa" w:w="60"/>
              <w:right w:type="dxa" w:w="100"/>
            </w:tcMar>
          </w:tcPr>
          <w:p>
            <w:pPr>
              <w:spacing w:after="0"/>
            </w:pPr>
            <w:r>
              <w:rPr>
                <w:rFonts w:ascii="Calibri" w:cs="Calibri" w:eastAsia="Calibri" w:hAnsi="Calibri"/>
                <w:sz w:val="18"/>
                <w:szCs w:val="18"/>
              </w:rPr>
              <w:t xml:space="preserve">[ ]</w:t>
            </w:r>
          </w:p>
        </w:tc>
        <w:tc>
          <w:tcPr>
            <w:tcW w:type="dxa" w:w="1700"/>
            <w:tcMar>
              <w:top w:type="dxa" w:w="60"/>
              <w:left w:type="dxa" w:w="100"/>
              <w:bottom w:type="dxa" w:w="60"/>
              <w:right w:type="dxa" w:w="100"/>
            </w:tcMar>
          </w:tcPr>
          <w:p>
            <w:pPr>
              <w:spacing w:after="0"/>
            </w:pPr>
            <w:r>
              <w:rPr>
                <w:rFonts w:ascii="Calibri" w:cs="Calibri" w:eastAsia="Calibri" w:hAnsi="Calibri"/>
                <w:sz w:val="18"/>
                <w:szCs w:val="18"/>
              </w:rPr>
              <w:t xml:space="preserve">[ ]</w:t>
            </w:r>
          </w:p>
        </w:tc>
      </w:tr>
      <w:tr>
        <w:trPr>
          <w:cantSplit/>
        </w:trPr>
        <w:tc>
          <w:tcPr>
            <w:tcW w:type="dxa" w:w="3300"/>
            <w:tcMar>
              <w:top w:type="dxa" w:w="60"/>
              <w:left w:type="dxa" w:w="100"/>
              <w:bottom w:type="dxa" w:w="60"/>
              <w:right w:type="dxa" w:w="100"/>
            </w:tcMar>
          </w:tcPr>
          <w:p>
            <w:pPr>
              <w:spacing w:after="0"/>
            </w:pPr>
            <w:r>
              <w:rPr>
                <w:rFonts w:ascii="Calibri" w:cs="Calibri" w:eastAsia="Calibri" w:hAnsi="Calibri"/>
                <w:sz w:val="18"/>
                <w:szCs w:val="18"/>
              </w:rPr>
              <w:t xml:space="preserve">D. Transacciones y canales de envío o distribución</w:t>
            </w:r>
          </w:p>
        </w:tc>
        <w:tc>
          <w:tcPr>
            <w:tcW w:type="dxa" w:w="1000"/>
            <w:tcMar>
              <w:top w:type="dxa" w:w="60"/>
              <w:left w:type="dxa" w:w="100"/>
              <w:bottom w:type="dxa" w:w="60"/>
              <w:right w:type="dxa" w:w="100"/>
            </w:tcMar>
          </w:tcPr>
          <w:p>
            <w:pPr>
              <w:spacing w:after="0"/>
            </w:pPr>
            <w:r>
              <w:rPr>
                <w:rFonts w:ascii="Calibri" w:cs="Calibri" w:eastAsia="Calibri" w:hAnsi="Calibri"/>
                <w:sz w:val="18"/>
                <w:szCs w:val="18"/>
              </w:rPr>
              <w:t xml:space="preserve">×1.0</w:t>
            </w:r>
          </w:p>
        </w:tc>
        <w:tc>
          <w:tcPr>
            <w:tcW w:type="dxa" w:w="1700"/>
            <w:tcMar>
              <w:top w:type="dxa" w:w="60"/>
              <w:left w:type="dxa" w:w="100"/>
              <w:bottom w:type="dxa" w:w="60"/>
              <w:right w:type="dxa" w:w="100"/>
            </w:tcMar>
          </w:tcPr>
          <w:p>
            <w:pPr>
              <w:spacing w:after="0"/>
            </w:pPr>
            <w:r>
              <w:rPr>
                <w:rFonts w:ascii="Calibri" w:cs="Calibri" w:eastAsia="Calibri" w:hAnsi="Calibri"/>
                <w:sz w:val="18"/>
                <w:szCs w:val="18"/>
              </w:rPr>
              <w:t xml:space="preserve">[ ]</w:t>
            </w:r>
          </w:p>
        </w:tc>
        <w:tc>
          <w:tcPr>
            <w:tcW w:type="dxa" w:w="1800"/>
            <w:tcMar>
              <w:top w:type="dxa" w:w="60"/>
              <w:left w:type="dxa" w:w="100"/>
              <w:bottom w:type="dxa" w:w="60"/>
              <w:right w:type="dxa" w:w="100"/>
            </w:tcMar>
          </w:tcPr>
          <w:p>
            <w:pPr>
              <w:spacing w:after="0"/>
            </w:pPr>
            <w:r>
              <w:rPr>
                <w:rFonts w:ascii="Calibri" w:cs="Calibri" w:eastAsia="Calibri" w:hAnsi="Calibri"/>
                <w:sz w:val="18"/>
                <w:szCs w:val="18"/>
              </w:rPr>
              <w:t xml:space="preserve">[ ]</w:t>
            </w:r>
          </w:p>
        </w:tc>
        <w:tc>
          <w:tcPr>
            <w:tcW w:type="dxa" w:w="1700"/>
            <w:tcMar>
              <w:top w:type="dxa" w:w="60"/>
              <w:left w:type="dxa" w:w="100"/>
              <w:bottom w:type="dxa" w:w="60"/>
              <w:right w:type="dxa" w:w="100"/>
            </w:tcMar>
          </w:tcPr>
          <w:p>
            <w:pPr>
              <w:spacing w:after="0"/>
            </w:pPr>
            <w:r>
              <w:rPr>
                <w:rFonts w:ascii="Calibri" w:cs="Calibri" w:eastAsia="Calibri" w:hAnsi="Calibri"/>
                <w:sz w:val="18"/>
                <w:szCs w:val="18"/>
              </w:rPr>
              <w:t xml:space="preserve">[ ]</w:t>
            </w:r>
          </w:p>
        </w:tc>
      </w:tr>
      <w:tr>
        <w:trPr>
          <w:cantSplit/>
        </w:trPr>
        <w:tc>
          <w:tcPr>
            <w:tcW w:type="dxa" w:w="3300"/>
            <w:tcMar>
              <w:top w:type="dxa" w:w="60"/>
              <w:left w:type="dxa" w:w="100"/>
              <w:bottom w:type="dxa" w:w="60"/>
              <w:right w:type="dxa" w:w="100"/>
            </w:tcMar>
          </w:tcPr>
          <w:p>
            <w:pPr>
              <w:spacing w:after="0"/>
            </w:pPr>
            <w:r>
              <w:rPr>
                <w:rFonts w:ascii="Calibri" w:cs="Calibri" w:eastAsia="Calibri" w:hAnsi="Calibri"/>
                <w:sz w:val="18"/>
                <w:szCs w:val="18"/>
              </w:rPr>
              <w:t xml:space="preserve"/>
            </w:r>
            <w:r>
              <w:rPr>
                <w:rFonts w:ascii="Calibri" w:cs="Calibri" w:eastAsia="Calibri" w:hAnsi="Calibri"/>
                <w:b/>
                <w:bCs/>
                <w:sz w:val="18"/>
                <w:szCs w:val="18"/>
              </w:rPr>
              <w:t xml:space="preserve">Nivel de Riesgo del profesional o despacho</w:t>
            </w:r>
          </w:p>
        </w:tc>
        <w:tc>
          <w:tcPr>
            <w:tcW w:type="dxa" w:w="1000"/>
            <w:tcMar>
              <w:top w:type="dxa" w:w="60"/>
              <w:left w:type="dxa" w:w="100"/>
              <w:bottom w:type="dxa" w:w="60"/>
              <w:right w:type="dxa" w:w="100"/>
            </w:tcMar>
          </w:tcPr>
          <w:p>
            <w:pPr>
              <w:spacing w:after="0"/>
            </w:pPr>
            <w:r>
              <w:rPr>
                <w:rFonts w:ascii="Calibri" w:cs="Calibri" w:eastAsia="Calibri" w:hAnsi="Calibri"/>
                <w:sz w:val="18"/>
                <w:szCs w:val="18"/>
              </w:rPr>
              <w:t xml:space="preserve"/>
            </w:r>
          </w:p>
        </w:tc>
        <w:tc>
          <w:tcPr>
            <w:tcW w:type="dxa" w:w="1700"/>
            <w:tcMar>
              <w:top w:type="dxa" w:w="60"/>
              <w:left w:type="dxa" w:w="100"/>
              <w:bottom w:type="dxa" w:w="60"/>
              <w:right w:type="dxa" w:w="100"/>
            </w:tcMar>
          </w:tcPr>
          <w:p>
            <w:pPr>
              <w:spacing w:after="0"/>
            </w:pPr>
            <w:r>
              <w:rPr>
                <w:rFonts w:ascii="Calibri" w:cs="Calibri" w:eastAsia="Calibri" w:hAnsi="Calibri"/>
                <w:sz w:val="18"/>
                <w:szCs w:val="18"/>
              </w:rPr>
              <w:t xml:space="preserve"/>
            </w:r>
          </w:p>
        </w:tc>
        <w:tc>
          <w:tcPr>
            <w:tcW w:type="dxa" w:w="1800"/>
            <w:tcMar>
              <w:top w:type="dxa" w:w="60"/>
              <w:left w:type="dxa" w:w="100"/>
              <w:bottom w:type="dxa" w:w="60"/>
              <w:right w:type="dxa" w:w="100"/>
            </w:tcMar>
          </w:tcPr>
          <w:p>
            <w:pPr>
              <w:spacing w:after="0"/>
            </w:pPr>
            <w:r>
              <w:rPr>
                <w:rFonts w:ascii="Calibri" w:cs="Calibri" w:eastAsia="Calibri" w:hAnsi="Calibri"/>
                <w:sz w:val="18"/>
                <w:szCs w:val="18"/>
              </w:rPr>
              <w:t xml:space="preserve"/>
            </w:r>
          </w:p>
        </w:tc>
        <w:tc>
          <w:tcPr>
            <w:tcW w:type="dxa" w:w="1700"/>
            <w:tcMar>
              <w:top w:type="dxa" w:w="60"/>
              <w:left w:type="dxa" w:w="100"/>
              <w:bottom w:type="dxa" w:w="60"/>
              <w:right w:type="dxa" w:w="100"/>
            </w:tcMar>
          </w:tcPr>
          <w:p>
            <w:pPr>
              <w:spacing w:after="0"/>
            </w:pPr>
            <w:r>
              <w:rPr>
                <w:rFonts w:ascii="Calibri" w:cs="Calibri" w:eastAsia="Calibri" w:hAnsi="Calibri"/>
                <w:sz w:val="18"/>
                <w:szCs w:val="18"/>
              </w:rPr>
              <w:t xml:space="preserve">[ ] Bajo  [ ] Medio  [ ] Alto</w:t>
            </w:r>
          </w:p>
        </w:tc>
      </w:tr>
    </w:tbl>
    <w:p>
      <w:pPr>
        <w:spacing w:after="80"/>
      </w:pPr>
    </w:p>
    <w:p>
      <w:pPr>
        <w:spacing w:after="110"/>
      </w:pPr>
      <w:r>
        <w:rPr>
          <w:rFonts w:ascii="Calibri" w:cs="Calibri" w:eastAsia="Calibri" w:hAnsi="Calibri"/>
          <w:sz w:val="20"/>
          <w:szCs w:val="20"/>
        </w:rPr>
        <w:t xml:space="preserve">La evaluación consta por escrito, la firma el Profesional Titular o el órgano de administración del despacho, se conserva por diez años y está a disposición de la autoridad a partir del 1 de marzo de 2027, con la información del año inmediato anterior (Transitorio Segundo). Se actualiza cada doce meses, cuando se detecten Riesgos nuevos o mayores o cuando se actualice la Evaluación Nacional de Riesgos (Art. 10 Septies 3); si revela Riesgos mayores o nuevos, los Mitigantes se modifican en un plazo no mayor a doce meses, indicando el año y mes de los resultados que motivaron el cambio (Art. 10 Septies 2).</w:t>
      </w:r>
    </w:p>
    <w:p>
      <w:pPr>
        <w:keepNext/>
        <w:spacing w:after="90" w:before="150"/>
      </w:pPr>
      <w:r>
        <w:rPr>
          <w:rFonts w:ascii="Calibri" w:cs="Calibri" w:eastAsia="Calibri" w:hAnsi="Calibri"/>
          <w:b/>
          <w:bCs/>
          <w:sz w:val="21"/>
          <w:szCs w:val="21"/>
        </w:rPr>
        <w:t xml:space="preserve">5.2 Criterios para clasificar a un Cliente o Usuaria como de Riesgo bajo (Art. 17 RCG)</w:t>
      </w:r>
    </w:p>
    <w:p>
      <w:pPr>
        <w:spacing w:after="110"/>
      </w:pPr>
      <w:r>
        <w:rPr>
          <w:rFonts w:ascii="Calibri" w:cs="Calibri" w:eastAsia="Calibri" w:hAnsi="Calibri"/>
          <w:sz w:val="20"/>
          <w:szCs w:val="20"/>
        </w:rPr>
        <w:t xml:space="preserve">El profesional o despacho aplica medidas simplificadas únicamente al Cliente o Usuaria que cumpla todos los criterios siguientes:</w:t>
      </w:r>
    </w:p>
    <w:p>
      <w:pPr>
        <w:spacing w:after="70"/>
      </w:pPr>
      <w:r>
        <w:rPr>
          <w:rFonts w:ascii="Calibri" w:cs="Calibri" w:eastAsia="Calibri" w:hAnsi="Calibri"/>
          <w:sz w:val="20"/>
          <w:szCs w:val="20"/>
        </w:rPr>
        <w:t xml:space="preserve">• Es persona física de nacionalidad mexicana o residente en México, o persona moral mexicana con estructura accionaria simple (sin más de un nivel de personas morales entre ella y su Beneficiario Controlador), con Beneficiario Controlador identificado.</w:t>
      </w:r>
    </w:p>
    <w:p>
      <w:pPr>
        <w:spacing w:after="70"/>
      </w:pPr>
      <w:r>
        <w:rPr>
          <w:rFonts w:ascii="Calibri" w:cs="Calibri" w:eastAsia="Calibri" w:hAnsi="Calibri"/>
          <w:sz w:val="20"/>
          <w:szCs w:val="20"/>
        </w:rPr>
        <w:t xml:space="preserve">• No es Persona Políticamente Expuesta ni se asimila a ella, y no aparece en las listas a que se refiere el capítulo 15.</w:t>
      </w:r>
    </w:p>
    <w:p>
      <w:pPr>
        <w:spacing w:after="70"/>
      </w:pPr>
      <w:r>
        <w:rPr>
          <w:rFonts w:ascii="Calibri" w:cs="Calibri" w:eastAsia="Calibri" w:hAnsi="Calibri"/>
          <w:sz w:val="20"/>
          <w:szCs w:val="20"/>
        </w:rPr>
        <w:t xml:space="preserve">• Los recursos provienen de cuentas en Entidades Financieras a nombre del propio Cliente o Usuaria, o de un crédito otorgado por una Entidad Financiera, y no se pretende pagar en efectivo.</w:t>
      </w:r>
    </w:p>
    <w:p>
      <w:pPr>
        <w:spacing w:after="70"/>
      </w:pPr>
      <w:r>
        <w:rPr>
          <w:rFonts w:ascii="Calibri" w:cs="Calibri" w:eastAsia="Calibri" w:hAnsi="Calibri"/>
          <w:sz w:val="20"/>
          <w:szCs w:val="20"/>
        </w:rPr>
        <w:t xml:space="preserve">• Cuando el acto u operación tenga umbral de Aviso, su monto es inferior a dicho umbral; y no existe ninguna señal de alerta.</w:t>
      </w:r>
    </w:p>
    <w:p>
      <w:pPr>
        <w:spacing w:after="70"/>
      </w:pPr>
      <w:r>
        <w:rPr>
          <w:rFonts w:ascii="Calibri" w:cs="Calibri" w:eastAsia="Calibri" w:hAnsi="Calibri"/>
          <w:sz w:val="20"/>
          <w:szCs w:val="20"/>
        </w:rPr>
        <w:t xml:space="preserve">• Ni el domicilio ni el origen o destino de los recursos se vinculan con países o jurisdicciones de Riesgo.</w:t>
      </w:r>
    </w:p>
    <w:p>
      <w:pPr>
        <w:spacing w:after="70"/>
      </w:pPr>
      <w:r>
        <w:rPr>
          <w:rFonts w:ascii="Calibri" w:cs="Calibri" w:eastAsia="Calibri" w:hAnsi="Calibri"/>
          <w:sz w:val="20"/>
          <w:szCs w:val="20"/>
        </w:rPr>
        <w:t xml:space="preserve">• Obtiene una puntuación de 6 a 9 puntos en la Metodología EBR (Documento D6-PROF).</w:t>
      </w:r>
    </w:p>
    <w:p>
      <w:pPr>
        <w:spacing w:after="110"/>
      </w:pPr>
      <w:r>
        <w:rPr>
          <w:rFonts w:ascii="Calibri" w:cs="Calibri" w:eastAsia="Calibri" w:hAnsi="Calibri"/>
          <w:sz w:val="20"/>
          <w:szCs w:val="20"/>
        </w:rPr>
        <w:t xml:space="preserve">Si el Cliente o Usuaria deja de cumplir cualquiera de estos criterios, se integra su expediente completo (Art. 17, último párrafo, y Art. 17 Bis RCG) y se reclasifica. Las medidas simplificadas no eximen de identificar al Cliente o Usuaria ni de consultar las listas y la calidad de PEP.</w:t>
      </w:r>
    </w:p>
    <w:p>
      <w:pPr>
        <w:keepNext/>
        <w:spacing w:after="90" w:before="150"/>
      </w:pPr>
      <w:r>
        <w:rPr>
          <w:rFonts w:ascii="Calibri" w:cs="Calibri" w:eastAsia="Calibri" w:hAnsi="Calibri"/>
          <w:b/>
          <w:bCs/>
          <w:sz w:val="21"/>
          <w:szCs w:val="21"/>
        </w:rPr>
        <w:t xml:space="preserve">5.3 Medidas reforzadas para Clientes o Usuarias de Riesgo alto (Arts. 23 Ter 3, 23 Ter 4 y 23 Ter 5 RCG)</w:t>
      </w:r>
    </w:p>
    <w:p>
      <w:pPr>
        <w:spacing w:after="70"/>
      </w:pPr>
      <w:r>
        <w:rPr>
          <w:rFonts w:ascii="Calibri" w:cs="Calibri" w:eastAsia="Calibri" w:hAnsi="Calibri"/>
          <w:sz w:val="20"/>
          <w:szCs w:val="20"/>
        </w:rPr>
        <w:t xml:space="preserve">• Se aplica el Cuestionario de Identificación Reforzada del Anexo B de este Manual al alta y en cada reevaluación, para obtener mayor información sobre la actividad preponderante del cliente y el origen y destino de los recursos. Puede aplicarse a distancia por medios digitales, siempre con la Firma Electrónica de quien lo suscribe (Art. 23 Ter 3).</w:t>
      </w:r>
    </w:p>
    <w:p>
      <w:pPr>
        <w:spacing w:after="70"/>
      </w:pPr>
      <w:r>
        <w:rPr>
          <w:rFonts w:ascii="Calibri" w:cs="Calibri" w:eastAsia="Calibri" w:hAnsi="Calibri"/>
          <w:sz w:val="20"/>
          <w:szCs w:val="20"/>
        </w:rPr>
        <w:t xml:space="preserve">• Personas físicas: se adoptan medidas reforzadas sobre el origen y destino de los recursos y se recaban, del cónyuge y de los dependientes económicos, nombre completo, fecha de nacimiento, nacionalidad y CURP o RFC, así como la denominación, RFC y porcentaje de participación de las sociedades y asociaciones con las que el cliente mantenga vínculos patrimoniales (Art. 23 Ter 4, fr. I).</w:t>
      </w:r>
    </w:p>
    <w:p>
      <w:pPr>
        <w:spacing w:after="70"/>
      </w:pPr>
      <w:r>
        <w:rPr>
          <w:rFonts w:ascii="Calibri" w:cs="Calibri" w:eastAsia="Calibri" w:hAnsi="Calibri"/>
          <w:sz w:val="20"/>
          <w:szCs w:val="20"/>
        </w:rPr>
        <w:t xml:space="preserve">• Personas morales: se obtiene mayor información de sus principales accionistas o socios y se confirma en los registros electrónicos de la Secretaría de Economía (Art. 23 Ter 4, fr. II).</w:t>
      </w:r>
    </w:p>
    <w:p>
      <w:pPr>
        <w:spacing w:after="70"/>
      </w:pPr>
      <w:r>
        <w:rPr>
          <w:rFonts w:ascii="Calibri" w:cs="Calibri" w:eastAsia="Calibri" w:hAnsi="Calibri"/>
          <w:sz w:val="20"/>
          <w:szCs w:val="20"/>
        </w:rPr>
        <w:t xml:space="preserve">• Personas Políticamente Expuestas extranjeras: además, se recaba la documentación del Capítulo III de las RCG respecto del cónyuge y los dependientes económicos (Art. 23 Ter 4, fr. III).</w:t>
      </w:r>
    </w:p>
    <w:p>
      <w:pPr>
        <w:spacing w:after="70"/>
      </w:pPr>
      <w:r>
        <w:rPr>
          <w:rFonts w:ascii="Calibri" w:cs="Calibri" w:eastAsia="Calibri" w:hAnsi="Calibri"/>
          <w:sz w:val="20"/>
          <w:szCs w:val="20"/>
        </w:rPr>
        <w:t xml:space="preserve">• Cuando el cliente sea PEP y además de Riesgo alto, el acto u operación requiere si se trata de un despacho, la aprobación previa y por escrito de [SOCIO DIRECTOR O EQUIVALENTE QUE APRUEBA] (Art. 23 Ter 5, primer párrafo, RCG); si es persona física, la constancia firmada por el Profesional Titular con los motivos considerados (segundo párrafo), que considera el cuestionario reforzado, el origen de los recursos y el monitoreo propuesto.</w:t>
      </w:r>
    </w:p>
    <w:p>
      <w:pPr>
        <w:spacing w:after="70"/>
      </w:pPr>
      <w:r>
        <w:rPr>
          <w:rFonts w:ascii="Calibri" w:cs="Calibri" w:eastAsia="Calibri" w:hAnsi="Calibri"/>
          <w:sz w:val="20"/>
          <w:szCs w:val="20"/>
        </w:rPr>
        <w:t xml:space="preserve">• Detección posterior: si la calidad de PEP o el Riesgo alto se identifica después de iniciada la relación, su continuidad requiere la misma aprobación o constancia del Art. 23 Ter 5 —que aplica "previamente o con posterioridad" al acto—. Mientras no se obtenga, no se celebran nuevos actos u operaciones con ese cliente.</w:t>
      </w:r>
    </w:p>
    <w:p>
      <w:pPr>
        <w:spacing w:after="70"/>
      </w:pPr>
      <w:r>
        <w:rPr>
          <w:rFonts w:ascii="Calibri" w:cs="Calibri" w:eastAsia="Calibri" w:hAnsi="Calibri"/>
          <w:sz w:val="20"/>
          <w:szCs w:val="20"/>
        </w:rPr>
        <w:t xml:space="preserve">• El comportamiento transaccional del cliente se revisa con mayor rigor: cada pago o aportación se compara con su Perfil Transaccional y toda desviación se analiza conforme a los parámetros de alertas de este Manual.</w:t>
      </w:r>
    </w:p>
    <w:p>
      <w:pPr>
        <w:keepNext/>
        <w:spacing w:after="90" w:before="150"/>
      </w:pPr>
      <w:r>
        <w:rPr>
          <w:rFonts w:ascii="Calibri" w:cs="Calibri" w:eastAsia="Calibri" w:hAnsi="Calibri"/>
          <w:b/>
          <w:bCs/>
          <w:sz w:val="21"/>
          <w:szCs w:val="21"/>
        </w:rPr>
        <w:t xml:space="preserve">5.4 Países, territorios y jurisdicciones de alto Riesgo (Arts. 23 Bis 4 y 41, fr. V, RCG)</w:t>
      </w:r>
    </w:p>
    <w:p>
      <w:pPr>
        <w:spacing w:after="70"/>
      </w:pPr>
      <w:r>
        <w:rPr>
          <w:rFonts w:ascii="Calibri" w:cs="Calibri" w:eastAsia="Calibri" w:hAnsi="Calibri"/>
          <w:sz w:val="20"/>
          <w:szCs w:val="20"/>
        </w:rPr>
        <w:t xml:space="preserve">• Fuentes: (i) la lista de países y jurisdicciones que la UIF pone a disposición en el Portal en Internet (Art. 23 Bis 4, último párrafo); (ii) los países y territorios que la legislación fiscal mexicana considera de régimen fiscal preferente; y (iii) las jurisdicciones que el GAFI/FATF y el GAFILAT señalan como de alto Riesgo o sujetas a monitoreo intensificado. Las listas se revisan cada vez que se actualizan; el GAFI lo hace tras sus plenarias, normalmente tres veces al año.</w:t>
      </w:r>
    </w:p>
    <w:p>
      <w:pPr>
        <w:spacing w:after="70"/>
      </w:pPr>
      <w:r>
        <w:rPr>
          <w:rFonts w:ascii="Calibri" w:cs="Calibri" w:eastAsia="Calibri" w:hAnsi="Calibri"/>
          <w:sz w:val="20"/>
          <w:szCs w:val="20"/>
        </w:rPr>
        <w:t xml:space="preserve">• Detección: se revisan la nacionalidad, la residencia y el domicilio del cliente y de su Beneficiario Controlador, el origen y destino de los recursos, las cuentas de origen y las contrapartes.</w:t>
      </w:r>
    </w:p>
    <w:p>
      <w:pPr>
        <w:spacing w:after="70"/>
      </w:pPr>
      <w:r>
        <w:rPr>
          <w:rFonts w:ascii="Calibri" w:cs="Calibri" w:eastAsia="Calibri" w:hAnsi="Calibri"/>
          <w:sz w:val="20"/>
          <w:szCs w:val="20"/>
        </w:rPr>
        <w:t xml:space="preserve">• Cliente no residente vinculado con esas jurisdicciones: se clasifica siempre como de Riesgo alto y se recaban y asientan las razones por las que celebra el acto u operación en México (Art. 23 Bis 4).</w:t>
      </w:r>
    </w:p>
    <w:p>
      <w:pPr>
        <w:spacing w:after="70"/>
      </w:pPr>
      <w:r>
        <w:rPr>
          <w:rFonts w:ascii="Calibri" w:cs="Calibri" w:eastAsia="Calibri" w:hAnsi="Calibri"/>
          <w:sz w:val="20"/>
          <w:szCs w:val="20"/>
        </w:rPr>
        <w:t xml:space="preserve">• Cliente residente con vínculo con esas jurisdicciones (recursos, cuentas, contrapartes o Beneficiario Controlador): el indicador geográfico de la Metodología EBR se califica en nivel alto y se aplican las medidas reforzadas de este Manual.</w:t>
      </w:r>
    </w:p>
    <w:p>
      <w:pPr>
        <w:spacing w:after="70"/>
      </w:pPr>
      <w:r>
        <w:rPr>
          <w:rFonts w:ascii="Calibri" w:cs="Calibri" w:eastAsia="Calibri" w:hAnsi="Calibri"/>
          <w:sz w:val="20"/>
          <w:szCs w:val="20"/>
        </w:rPr>
        <w:t xml:space="preserve">• El sistema de alertas genera una alerta automática para todo acto u operación vinculado con esas jurisdicciones (Art. 41, fr. V), que se analiza conforme al procedimiento de análisis de alertas de este Manual. Si no puede documentarse una razón económica legítima, se aplican los criterios de abstención y, en su caso, se presenta el Aviso de 24 horas.</w:t>
      </w:r>
    </w:p>
    <w:p>
      <w:pPr>
        <w:shd w:fill="1F3864" w:val="clear"/>
        <w:spacing w:after="100" w:before="220"/>
      </w:pPr>
      <w:r>
        <w:rPr>
          <w:rFonts w:ascii="Calibri" w:cs="Calibri" w:eastAsia="Calibri" w:hAnsi="Calibri"/>
          <w:b/>
          <w:bCs/>
          <w:color w:val="FFFFFF"/>
          <w:sz w:val="22"/>
          <w:szCs w:val="22"/>
        </w:rPr>
        <w:t xml:space="preserve">Capítulo 6: PEP's y Beneficiario Controlador</w:t>
      </w:r>
    </w:p>
    <w:p>
      <w:pPr>
        <w:spacing w:after="110"/>
      </w:pPr>
      <w:r>
        <w:rPr>
          <w:rFonts w:ascii="Calibri" w:cs="Calibri" w:eastAsia="Calibri" w:hAnsi="Calibri"/>
          <w:sz w:val="21"/>
          <w:szCs w:val="21"/>
        </w:rPr>
        <w:t xml:space="preserve">Se considera PEP a la persona física que desempeña o ha desempeñado funciones públicas en territorio nacional o en el extranjero (jefes de Estado o de gobierno, líderes políticos, funcionarios gubernamentales, judiciales o militares de alta jerarquía, altos ejecutivos de empresas estatales, funcionarios o miembros importantes de partidos políticos y organizaciones internacionales), así como a su cónyuge, concubina o concubinario, parientes por consanguinidad o afinidad hasta el segundo grado, y a los asociados o socios de personas morales con las que mantenga vínculos patrimoniales (art. 23 Quáter RCG). La calidad de PEP nacional se conserva durante el año siguiente a aquel en que la persona dejó el cargo. Ver Política de PEP's, Documento D8-PROF. Beneficiario Controlador (art. 18, fr. III, de la Ley): cuando el cliente sea persona moral, fideicomiso u otra figura jurídica, el profesional recaba los documentos que permitan identificar a su Beneficiario Controlador; cuando sea persona física, recaba la declaración acerca de si tiene o no conocimiento de la existencia de un Beneficiario Controlador y, en su caso, la documentación que permita identificarlo. Es particularmente relevante en los incisos d) y e) — ver Sección E del D7-PROF.</w:t>
      </w:r>
    </w:p>
    <w:p>
      <w:pPr>
        <w:spacing w:after="110"/>
      </w:pPr>
      <w:r>
        <w:rPr>
          <w:rFonts w:ascii="Calibri" w:cs="Calibri" w:eastAsia="Calibri" w:hAnsi="Calibri"/>
          <w:sz w:val="20"/>
          <w:szCs w:val="20"/>
        </w:rPr>
        <w:t xml:space="preserve">Orden de prelación para identificar al Beneficiario Controlador (art. 23 Quinquies RCG): (i) la persona o personas físicas que tengan el 25% o más del capital social; (ii) si no existe, quien controle a la persona moral por otros medios; (iii) en último término, el funcionario administrativo de mayor grado. En fideicomisos se aplica el art. 23 Quinquies 1. No se exige la identificación del Beneficiario Controlador en los supuestos de exención del art. 23 Quinquies 2 RCG. La evidencia del procedimiento se integra en la Sección E del D7-PROF.</w:t>
      </w:r>
    </w:p>
    <w:p>
      <w:pPr>
        <w:keepNext/>
        <w:spacing w:after="90" w:before="150"/>
      </w:pPr>
      <w:r>
        <w:rPr>
          <w:rFonts w:ascii="Calibri" w:cs="Calibri" w:eastAsia="Calibri" w:hAnsi="Calibri"/>
          <w:b/>
          <w:bCs/>
          <w:sz w:val="21"/>
          <w:szCs w:val="21"/>
        </w:rPr>
        <w:t xml:space="preserve">6.1 Fuentes, validación de coincidencias y monitoreo de PEP (Art. 37 Bis, fr. IV, RCG)</w:t>
      </w:r>
    </w:p>
    <w:p>
      <w:pPr>
        <w:spacing w:after="70"/>
      </w:pPr>
      <w:r>
        <w:rPr>
          <w:rFonts w:ascii="Calibri" w:cs="Calibri" w:eastAsia="Calibri" w:hAnsi="Calibri"/>
          <w:sz w:val="20"/>
          <w:szCs w:val="20"/>
        </w:rPr>
        <w:t xml:space="preserve">• La consulta de PEP nacionales se realiza en la aplicación Consulta PEP 2.0 de la UIF, con la e.firma del alta y registro, en cuanto esté habilitada para quienes realizan Actividades Vulnerables (nueve meses después de la entrada en vigor del Acuerdo 115/2026, Transitorio Décimo). Mientras tanto, se recaba la declaración del cliente sobre su calidad de PEP y se consultan fuentes públicas oficiales.</w:t>
      </w:r>
    </w:p>
    <w:p>
      <w:pPr>
        <w:spacing w:after="70"/>
      </w:pPr>
      <w:r>
        <w:rPr>
          <w:rFonts w:ascii="Calibri" w:cs="Calibri" w:eastAsia="Calibri" w:hAnsi="Calibri"/>
          <w:sz w:val="20"/>
          <w:szCs w:val="20"/>
        </w:rPr>
        <w:t xml:space="preserve">• Las PEP extranjeras se identifican mediante la declaración del cliente y fuentes públicas o listas de organismos internacionales reconocidos; se clasifican siempre como Riesgo alto (Art. 23 Bis 4 RCG).</w:t>
      </w:r>
    </w:p>
    <w:p>
      <w:pPr>
        <w:spacing w:after="70"/>
      </w:pPr>
      <w:r>
        <w:rPr>
          <w:rFonts w:ascii="Calibri" w:cs="Calibri" w:eastAsia="Calibri" w:hAnsi="Calibri"/>
          <w:sz w:val="20"/>
          <w:szCs w:val="20"/>
        </w:rPr>
        <w:t xml:space="preserve">• Las coincidencias se validan con la fecha de nacimiento, la CURP o el RFC y el cargo, con el mismo tratamiento de falsos positivos del capítulo 15; el resultado se documenta en el expediente.</w:t>
      </w:r>
    </w:p>
    <w:p>
      <w:pPr>
        <w:spacing w:after="70"/>
      </w:pPr>
      <w:r>
        <w:rPr>
          <w:rFonts w:ascii="Calibri" w:cs="Calibri" w:eastAsia="Calibri" w:hAnsi="Calibri"/>
          <w:sz w:val="20"/>
          <w:szCs w:val="20"/>
        </w:rPr>
        <w:t xml:space="preserve">• Monitoreo: la calidad de PEP se verifica antes de cada acto u operación y en cada reevaluación semestral; la PEP nacional conserva esa calidad durante el año siguiente a aquel en que dejó el cargo (Art. 23 Quáter RCG).</w:t>
      </w:r>
    </w:p>
    <w:p>
      <w:pPr>
        <w:shd w:fill="1F3864" w:val="clear"/>
        <w:spacing w:after="100" w:before="220"/>
      </w:pPr>
      <w:r>
        <w:rPr>
          <w:rFonts w:ascii="Calibri" w:cs="Calibri" w:eastAsia="Calibri" w:hAnsi="Calibri"/>
          <w:b/>
          <w:bCs/>
          <w:color w:val="FFFFFF"/>
          <w:sz w:val="22"/>
          <w:szCs w:val="22"/>
        </w:rPr>
        <w:t xml:space="preserve">Capítulo 7: Operaciones Inusuales</w:t>
      </w:r>
    </w:p>
    <w:p>
      <w:pPr>
        <w:spacing w:after="110"/>
      </w:pPr>
      <w:r>
        <w:rPr>
          <w:rFonts w:ascii="Calibri" w:cs="Calibri" w:eastAsia="Calibri" w:hAnsi="Calibri"/>
          <w:sz w:val="21"/>
          <w:szCs w:val="21"/>
        </w:rPr>
        <w:t xml:space="preserve">El catálogo de señales de alerta por inciso, el procedimiento de reporte interno y la presentación del Aviso dentro de las 24 horas siguientes a la detección de la sospecha se encuentran en el Documento D9-PROF.</w:t>
      </w:r>
    </w:p>
    <w:p>
      <w:pPr>
        <w:spacing w:after="110"/>
      </w:pPr>
      <w:r>
        <w:rPr>
          <w:rFonts w:ascii="Calibri" w:cs="Calibri" w:eastAsia="Calibri" w:hAnsi="Calibri"/>
          <w:sz w:val="20"/>
          <w:szCs w:val="20"/>
        </w:rPr>
        <w:t xml:space="preserve">El Aviso por sospecha o por indicios es obligatorio dentro de las 24 horas siguientes a que se tuvo conocimiento o se generó la sospecha, incluso si el servicio no se celebró y aun en fase de preparación (art. 18, fr. VI, de la Ley; arts. 26 Bis y 26 Bis 1 RCG). Su contenido se limita a lo que exige el art. 24 de la Ley, con respeto al secreto profesional y garantía de defensa conforme al criterio del capítulo 20.</w:t>
      </w:r>
    </w:p>
    <w:p>
      <w:pPr>
        <w:shd w:fill="1F3864" w:val="clear"/>
        <w:spacing w:after="100" w:before="220"/>
      </w:pPr>
      <w:r>
        <w:rPr>
          <w:rFonts w:ascii="Calibri" w:cs="Calibri" w:eastAsia="Calibri" w:hAnsi="Calibri"/>
          <w:b/>
          <w:bCs/>
          <w:color w:val="FFFFFF"/>
          <w:sz w:val="22"/>
          <w:szCs w:val="22"/>
        </w:rPr>
        <w:t xml:space="preserve">Capítulo 8: Restricción de Pagos en Efectivo</w:t>
      </w:r>
    </w:p>
    <w:p>
      <w:pPr>
        <w:spacing w:after="110"/>
      </w:pPr>
      <w:r>
        <w:rPr>
          <w:rFonts w:ascii="Calibri" w:cs="Calibri" w:eastAsia="Calibri" w:hAnsi="Calibri"/>
          <w:sz w:val="21"/>
          <w:szCs w:val="21"/>
        </w:rPr>
        <w:t xml:space="preserve">El artículo 32 LFPIORPI aplica de forma transversal, no exclusiva de la Fracción XI, y resulta relevante principalmente en dos de los cinco incisos: inciso a) — constitución o transmisión de derechos reales sobre inmuebles, prohibido en efectivo desde 8,025 UMA (~$941,413 MXN); e inciso e) — transmisión de acciones o partes sociales, prohibido en efectivo desde 3,210 UMA (~$376,565 MXN). Para los incisos b), c) y d) el artículo 32 no establece una prohibición específica de pago en efectivo, sin perjuicio de que un pago en efectivo inusual sea, en sí mismo, una señal de alerta conforme al D9-PROF.</w:t>
      </w:r>
    </w:p>
    <w:p>
      <w:pPr>
        <w:spacing w:after="110"/>
      </w:pPr>
      <w:r>
        <w:rPr>
          <w:rFonts w:ascii="Calibri" w:cs="Calibri" w:eastAsia="Calibri" w:hAnsi="Calibri"/>
          <w:sz w:val="20"/>
          <w:szCs w:val="20"/>
        </w:rPr>
        <w:t xml:space="preserve">El profesional no puede aceptar ni realizar pagos en efectivo en los supuestos prohibidos por el art. 32; participar en ellos se sanciona conforme a los arts. 53, fr. VII, y 54, fr. III, de la Ley. Cuando el servicio implique pagos en esos supuestos, el expediente documenta la forma de pago y su soporte.</w:t>
      </w:r>
    </w:p>
    <w:p>
      <w:pPr>
        <w:shd w:fill="1F3864" w:val="clear"/>
        <w:spacing w:after="100" w:before="220"/>
      </w:pPr>
      <w:r>
        <w:rPr>
          <w:rFonts w:ascii="Calibri" w:cs="Calibri" w:eastAsia="Calibri" w:hAnsi="Calibri"/>
          <w:b/>
          <w:bCs/>
          <w:color w:val="FFFFFF"/>
          <w:sz w:val="22"/>
          <w:szCs w:val="22"/>
        </w:rPr>
        <w:t xml:space="preserve">Capítulo 9: Presentación de Avisos ante la Secretaría</w:t>
      </w:r>
    </w:p>
    <w:p>
      <w:pPr>
        <w:spacing w:after="110"/>
      </w:pPr>
      <w:r>
        <w:rPr>
          <w:rFonts w:ascii="Calibri" w:cs="Calibri" w:eastAsia="Calibri" w:hAnsi="Calibri"/>
          <w:sz w:val="21"/>
          <w:szCs w:val="21"/>
        </w:rPr>
        <w:t xml:space="preserve">Cuando el profesional lleve a cabo, en nombre y representación del cliente, una operación financiera relacionada con los incisos a) a e) (art. 17, fr. XI, último párrafo), presenta el Aviso ante la Secretaría, a través del Portal del SAT, a más tardar el día 17 del mes inmediato siguiente a aquel en que realizó la operación (art. 23 de la Ley; art. 24 Bis, fr. VII, RCG). Si en el mes no realizó operaciones objeto de Aviso, presenta el informe correspondiente (art. 25 RCG). Ante sospecha o indicios, el Aviso se presenta dentro de las 24 horas siguientes (capítulo 7). Los Avisos contienen los datos que exige el art. 24 de la Ley (datos del prestador, del cliente y, en su caso, del Beneficiario Controlador, y descripción general de la operación), con respeto al secreto profesional y garantía de defensa; su presentación no transgrede la confidencialidad ni el secreto profesional (art. 22). El control mensual, incluyendo la determinación de representación, se documenta en el D12-PROF. El registro inicial se documenta en el D3-PROF.</w:t>
      </w:r>
    </w:p>
    <w:p>
      <w:pPr>
        <w:keepNext/>
        <w:spacing w:after="90" w:before="150"/>
      </w:pPr>
      <w:r>
        <w:rPr>
          <w:rFonts w:ascii="Calibri" w:cs="Calibri" w:eastAsia="Calibri" w:hAnsi="Calibri"/>
          <w:b/>
          <w:bCs/>
          <w:sz w:val="21"/>
          <w:szCs w:val="21"/>
        </w:rPr>
        <w:t xml:space="preserve">9.1 Envío, control de calidad y acuses (Art. 37 Bis, fr. VI, RCG)</w:t>
      </w:r>
    </w:p>
    <w:p>
      <w:pPr>
        <w:spacing w:after="70"/>
      </w:pPr>
      <w:r>
        <w:rPr>
          <w:rFonts w:ascii="Calibri" w:cs="Calibri" w:eastAsia="Calibri" w:hAnsi="Calibri"/>
          <w:sz w:val="20"/>
          <w:szCs w:val="20"/>
        </w:rPr>
        <w:t xml:space="preserve">• Vehículo: Portal en Internet del SAT, en el formato oficial vigente y con la e.firma con la que se realizó el alta y registro: la del profesional, si es persona física, o la del despacho, si es persona moral — en este caso no puede utilizarse la e.firma de su representante legal (Art. 24, segundo párrafo, RCG).</w:t>
      </w:r>
    </w:p>
    <w:p>
      <w:pPr>
        <w:spacing w:after="70"/>
      </w:pPr>
      <w:r>
        <w:rPr>
          <w:rFonts w:ascii="Calibri" w:cs="Calibri" w:eastAsia="Calibri" w:hAnsi="Calibri"/>
          <w:sz w:val="20"/>
          <w:szCs w:val="20"/>
        </w:rPr>
        <w:t xml:space="preserve">• Calendario mensual (criterio del Programa): cierre de los actos u operaciones del mes el último día natural; preparación de los Avisos dentro de los primeros diez días; envío a más tardar el día 15, como margen de seguridad frente al límite legal del día 17.</w:t>
      </w:r>
    </w:p>
    <w:p>
      <w:pPr>
        <w:spacing w:after="70"/>
      </w:pPr>
      <w:r>
        <w:rPr>
          <w:rFonts w:ascii="Calibri" w:cs="Calibri" w:eastAsia="Calibri" w:hAnsi="Calibri"/>
          <w:sz w:val="20"/>
          <w:szCs w:val="20"/>
        </w:rPr>
        <w:t xml:space="preserve">• Control de calidad previo al envío: se verifican contra el expediente los datos del Cliente o Usuaria y del Beneficiario Controlador (nombre, RFC, CURP), la fecha del acto u operación (Arts. 5 y 24 del Reglamento y 24 Bis RCG), el monto, la forma de pago y la descripción del acto. Siempre que sea posible, la verificación la realiza una persona distinta de quien capturó el Aviso.</w:t>
      </w:r>
    </w:p>
    <w:p>
      <w:pPr>
        <w:spacing w:after="70"/>
      </w:pPr>
      <w:r>
        <w:rPr>
          <w:rFonts w:ascii="Calibri" w:cs="Calibri" w:eastAsia="Calibri" w:hAnsi="Calibri"/>
          <w:sz w:val="20"/>
          <w:szCs w:val="20"/>
        </w:rPr>
        <w:t xml:space="preserve">• Acuses: el acuse con sello digital se descarga y conserva en el expediente del cliente y en el control mensual (Documento D12-PROF) durante diez años; cada mes se concilian los actos u operaciones realizados, los Avisos o el informe en ceros presentados y sus acuses.</w:t>
      </w:r>
    </w:p>
    <w:p>
      <w:pPr>
        <w:spacing w:after="70"/>
      </w:pPr>
      <w:r>
        <w:rPr>
          <w:rFonts w:ascii="Calibri" w:cs="Calibri" w:eastAsia="Calibri" w:hAnsi="Calibri"/>
          <w:sz w:val="20"/>
          <w:szCs w:val="20"/>
        </w:rPr>
        <w:t xml:space="preserve">• Correcciones: si se detecta un error en un Aviso presentado, se presenta el Aviso modificatorio disponible en el Portal y se documentan la causa y la fecha de corrección.</w:t>
      </w:r>
    </w:p>
    <w:p>
      <w:pPr>
        <w:spacing w:after="70"/>
      </w:pPr>
      <w:r>
        <w:rPr>
          <w:rFonts w:ascii="Calibri" w:cs="Calibri" w:eastAsia="Calibri" w:hAnsi="Calibri"/>
          <w:sz w:val="20"/>
          <w:szCs w:val="20"/>
        </w:rPr>
        <w:t xml:space="preserve">• Avisos de 24 horas: el análisis que lleva a presentar —o a no presentar— un Aviso por sospecha o por hechos o indicios se documenta por escrito, y su contenido se mantiene en estricta confidencialidad.</w:t>
      </w:r>
    </w:p>
    <w:p>
      <w:pPr>
        <w:shd w:fill="1F3864" w:val="clear"/>
        <w:spacing w:after="100" w:before="220"/>
      </w:pPr>
      <w:r>
        <w:rPr>
          <w:rFonts w:ascii="Calibri" w:cs="Calibri" w:eastAsia="Calibri" w:hAnsi="Calibri"/>
          <w:b/>
          <w:bCs/>
          <w:color w:val="FFFFFF"/>
          <w:sz w:val="22"/>
          <w:szCs w:val="22"/>
        </w:rPr>
        <w:t xml:space="preserve">Capítulo 10: Resguardo Documental</w:t>
      </w:r>
    </w:p>
    <w:p>
      <w:pPr>
        <w:spacing w:after="110"/>
      </w:pPr>
      <w:r>
        <w:rPr>
          <w:rFonts w:ascii="Calibri" w:cs="Calibri" w:eastAsia="Calibri" w:hAnsi="Calibri"/>
          <w:sz w:val="21"/>
          <w:szCs w:val="21"/>
        </w:rPr>
        <w:t xml:space="preserve">Aplica la Política de Resguardo Documental, Documento D10-PROF — plazo de conservación de 10 años conforme al artículo 18, fracción IV.</w:t>
      </w:r>
    </w:p>
    <w:p>
      <w:pPr>
        <w:keepNext/>
        <w:spacing w:after="90" w:before="150"/>
      </w:pPr>
      <w:r>
        <w:rPr>
          <w:rFonts w:ascii="Calibri" w:cs="Calibri" w:eastAsia="Calibri" w:hAnsi="Calibri"/>
          <w:b/>
          <w:bCs/>
          <w:sz w:val="21"/>
          <w:szCs w:val="21"/>
        </w:rPr>
        <w:t xml:space="preserve">10.1 Integridad, acceso, respaldo y recuperación (Art. 37 Bis, fr. VII, RCG)</w:t>
      </w:r>
    </w:p>
    <w:p>
      <w:pPr>
        <w:spacing w:after="70"/>
      </w:pPr>
      <w:r>
        <w:rPr>
          <w:rFonts w:ascii="Calibri" w:cs="Calibri" w:eastAsia="Calibri" w:hAnsi="Calibri"/>
          <w:sz w:val="20"/>
          <w:szCs w:val="20"/>
        </w:rPr>
        <w:t xml:space="preserve">• Cada Cliente o Usuaria tiene un expediente único (físico, digital o mixto) con un índice de su contenido; los documentos digitalizados conservan su legibilidad y, cuando proceda, se resguarda el original.</w:t>
      </w:r>
    </w:p>
    <w:p>
      <w:pPr>
        <w:spacing w:after="70"/>
      </w:pPr>
      <w:r>
        <w:rPr>
          <w:rFonts w:ascii="Calibri" w:cs="Calibri" w:eastAsia="Calibri" w:hAnsi="Calibri"/>
          <w:sz w:val="20"/>
          <w:szCs w:val="20"/>
        </w:rPr>
        <w:t xml:space="preserve">• Integridad: los registros no se alteran; las correcciones se hacen mediante una nueva versión fechada que conserva la anterior.</w:t>
      </w:r>
    </w:p>
    <w:p>
      <w:pPr>
        <w:spacing w:after="70"/>
      </w:pPr>
      <w:r>
        <w:rPr>
          <w:rFonts w:ascii="Calibri" w:cs="Calibri" w:eastAsia="Calibri" w:hAnsi="Calibri"/>
          <w:sz w:val="20"/>
          <w:szCs w:val="20"/>
        </w:rPr>
        <w:t xml:space="preserve">• Acceso: restringido a las personas autorizadas en la sección de protección de datos de este Manual y al auditor.</w:t>
      </w:r>
    </w:p>
    <w:p>
      <w:pPr>
        <w:spacing w:after="70"/>
      </w:pPr>
      <w:r>
        <w:rPr>
          <w:rFonts w:ascii="Calibri" w:cs="Calibri" w:eastAsia="Calibri" w:hAnsi="Calibri"/>
          <w:sz w:val="20"/>
          <w:szCs w:val="20"/>
        </w:rPr>
        <w:t xml:space="preserve">• Respaldo y recuperación: respaldo de la información digital al menos una vez por semana en una ubicación distinta de la principal y prueba anual de recuperación, documentada (criterio del Programa).</w:t>
      </w:r>
    </w:p>
    <w:p>
      <w:pPr>
        <w:spacing w:after="70"/>
      </w:pPr>
      <w:r>
        <w:rPr>
          <w:rFonts w:ascii="Calibri" w:cs="Calibri" w:eastAsia="Calibri" w:hAnsi="Calibri"/>
          <w:sz w:val="20"/>
          <w:szCs w:val="20"/>
        </w:rPr>
        <w:t xml:space="preserve">• Plazos y lugar de conservación: conforme al Documento D10-PROF.</w:t>
      </w:r>
    </w:p>
    <w:p>
      <w:pPr>
        <w:shd w:fill="1F3864" w:val="clear"/>
        <w:spacing w:after="100" w:before="220"/>
      </w:pPr>
      <w:r>
        <w:rPr>
          <w:rFonts w:ascii="Calibri" w:cs="Calibri" w:eastAsia="Calibri" w:hAnsi="Calibri"/>
          <w:b/>
          <w:bCs/>
          <w:color w:val="FFFFFF"/>
          <w:sz w:val="22"/>
          <w:szCs w:val="22"/>
        </w:rPr>
        <w:t xml:space="preserve">Capítulo 11: Capacitación</w:t>
      </w:r>
    </w:p>
    <w:p>
      <w:pPr>
        <w:spacing w:after="110"/>
      </w:pPr>
      <w:r>
        <w:rPr>
          <w:rFonts w:ascii="Calibri" w:cs="Calibri" w:eastAsia="Calibri" w:hAnsi="Calibri"/>
          <w:sz w:val="21"/>
          <w:szCs w:val="21"/>
        </w:rPr>
        <w:t xml:space="preserve">Aplica el Programa Anual de Capacitación, Documento D11-PROF, con casos prácticos (D11B-PROF) y evaluación de comprensión (D11C-PROF) propios de la Fracción XI.</w:t>
      </w:r>
    </w:p>
    <w:p>
      <w:pPr>
        <w:spacing w:after="110"/>
      </w:pPr>
      <w:r>
        <w:rPr>
          <w:rFonts w:ascii="Calibri" w:cs="Calibri" w:eastAsia="Calibri" w:hAnsi="Calibri"/>
          <w:sz w:val="20"/>
          <w:szCs w:val="20"/>
        </w:rPr>
        <w:t xml:space="preserve">La capacitación se imparte al menos una vez al año a los integrantes del órgano de administración o administrador único, al Representante de Cumplimiento y a quienes tengan relación directa con los clientes, participen en la identificación, el envío de Avisos o la auditoría (art. 18, fr. IX, de la Ley; art. 39 Bis RCG); el primer periodo anual comprende del 1 de enero al 31 de diciembre de 2027. Se evalúan los conocimientos adquiridos y se conservan por diez años las constancias y evidencias (art. 39 Bis 1).</w:t>
      </w:r>
    </w:p>
    <w:p>
      <w:pPr>
        <w:keepNext/>
        <w:spacing w:after="90" w:before="150"/>
      </w:pPr>
      <w:r>
        <w:rPr>
          <w:rFonts w:ascii="Calibri" w:cs="Calibri" w:eastAsia="Calibri" w:hAnsi="Calibri"/>
          <w:b/>
          <w:bCs/>
          <w:sz w:val="21"/>
          <w:szCs w:val="21"/>
        </w:rPr>
        <w:t xml:space="preserve">11.1 Evaluación y medidas ante resultados no satisfactorios (Art. 39 Bis 1 RCG)</w:t>
      </w:r>
    </w:p>
    <w:p>
      <w:pPr>
        <w:spacing w:after="70"/>
      </w:pPr>
      <w:r>
        <w:rPr>
          <w:rFonts w:ascii="Calibri" w:cs="Calibri" w:eastAsia="Calibri" w:hAnsi="Calibri"/>
          <w:sz w:val="20"/>
          <w:szCs w:val="20"/>
        </w:rPr>
        <w:t xml:space="preserve">• Al concluir cada curso, los participantes presentan la evaluación de conocimientos del Documento D11C-PROF; la calificación mínima aprobatoria es la que fija ese documento (aproximadamente 70 %). La constancia de participación solo se expide a quien aprueba.</w:t>
      </w:r>
    </w:p>
    <w:p>
      <w:pPr>
        <w:spacing w:after="70"/>
      </w:pPr>
      <w:r>
        <w:rPr>
          <w:rFonts w:ascii="Calibri" w:cs="Calibri" w:eastAsia="Calibri" w:hAnsi="Calibri"/>
          <w:sz w:val="20"/>
          <w:szCs w:val="20"/>
        </w:rPr>
        <w:t xml:space="preserve">• Primera reprobación: capacitación remedial dentro de los quince días hábiles siguientes y nueva evaluación.</w:t>
      </w:r>
    </w:p>
    <w:p>
      <w:pPr>
        <w:spacing w:after="70"/>
      </w:pPr>
      <w:r>
        <w:rPr>
          <w:rFonts w:ascii="Calibri" w:cs="Calibri" w:eastAsia="Calibri" w:hAnsi="Calibri"/>
          <w:sz w:val="20"/>
          <w:szCs w:val="20"/>
        </w:rPr>
        <w:t xml:space="preserve">• Segunda reprobación: la persona se retira temporalmente de las funciones de atención al público, identificación de clientes, envío de Avisos o administración de recursos hasta que acredite la evaluación; mientras tanto, actúa bajo supervisión directa.</w:t>
      </w:r>
    </w:p>
    <w:p>
      <w:pPr>
        <w:spacing w:after="70"/>
      </w:pPr>
      <w:r>
        <w:rPr>
          <w:rFonts w:ascii="Calibri" w:cs="Calibri" w:eastAsia="Calibri" w:hAnsi="Calibri"/>
          <w:sz w:val="20"/>
          <w:szCs w:val="20"/>
        </w:rPr>
        <w:t xml:space="preserve">• Reincidencia o negativa injustificada a capacitarse: se aplican las medidas disciplinarias previstas en el reglamento interior de trabajo o en el contrato respectivo, conforme a la legislación laboral.</w:t>
      </w:r>
    </w:p>
    <w:p>
      <w:pPr>
        <w:spacing w:after="70"/>
      </w:pPr>
      <w:r>
        <w:rPr>
          <w:rFonts w:ascii="Calibri" w:cs="Calibri" w:eastAsia="Calibri" w:hAnsi="Calibri"/>
          <w:sz w:val="20"/>
          <w:szCs w:val="20"/>
        </w:rPr>
        <w:t xml:space="preserve">• El personal que ingrese a áreas de atención al público o de administración de recursos se capacita antes de iniciar funciones o al mismo tiempo (Art. 39 Bis 1, tercer párrafo). Las evaluaciones, constancias, listas de asistencia y medidas aplicadas se conservan por diez años (Documento D11-PROF).</w:t>
      </w:r>
    </w:p>
    <w:p>
      <w:pPr>
        <w:shd w:fill="1F3864" w:val="clear"/>
        <w:spacing w:after="100" w:before="220"/>
      </w:pPr>
      <w:r>
        <w:rPr>
          <w:rFonts w:ascii="Calibri" w:cs="Calibri" w:eastAsia="Calibri" w:hAnsi="Calibri"/>
          <w:b/>
          <w:bCs/>
          <w:color w:val="FFFFFF"/>
          <w:sz w:val="22"/>
          <w:szCs w:val="22"/>
        </w:rPr>
        <w:t xml:space="preserve">Capítulo 12: Auditoría Interna</w:t>
      </w:r>
    </w:p>
    <w:p>
      <w:pPr>
        <w:spacing w:after="110"/>
      </w:pPr>
      <w:r>
        <w:rPr>
          <w:rFonts w:ascii="Calibri" w:cs="Calibri" w:eastAsia="Calibri" w:hAnsi="Calibri"/>
          <w:sz w:val="21"/>
          <w:szCs w:val="21"/>
        </w:rPr>
        <w:t xml:space="preserve">Aplica el esquema de Auditoría Interna, Documento D13-PROF, conforme al artículo 18, fracción XI.</w:t>
      </w:r>
    </w:p>
    <w:p>
      <w:pPr>
        <w:spacing w:after="110"/>
      </w:pPr>
      <w:r>
        <w:rPr>
          <w:rFonts w:ascii="Calibri" w:cs="Calibri" w:eastAsia="Calibri" w:hAnsi="Calibri"/>
          <w:sz w:val="20"/>
          <w:szCs w:val="20"/>
        </w:rPr>
        <w:t xml:space="preserve">La auditoría es anual, por año calendario (art. 18, fr. XI, de la Ley; arts. 42 a 51 RCG) y evalúa y dictamina la efectividad del cumplimiento de la Ley, su Reglamento y las Reglas; el primer periodo de revisión es el comprendido del 1 de enero al 31 de diciembre de 2028. Cuando el Riesgo del sujeto obligado, determinado conforme a la sección 5.1, sea bajo o medio puede realizarla un área de auditoría interna independiente del Representante de Cumplimiento o una persona auditora externa independiente; cuando sea alto, o cuando así lo elija, una persona auditora externa independiente que cumpla los requisitos del art. 45 RCG. El profesional persona física, o el despacho que no cuente con un área independiente, encomienda la revisión a persona auditora externa. Los resultados se presentan al órgano de administración o administrador único o, en su caso, directamente a la persona física sujeta (art. 42).</w:t>
      </w:r>
    </w:p>
    <w:p>
      <w:pPr>
        <w:keepNext/>
        <w:spacing w:after="90" w:before="150"/>
      </w:pPr>
      <w:r>
        <w:rPr>
          <w:rFonts w:ascii="Calibri" w:cs="Calibri" w:eastAsia="Calibri" w:hAnsi="Calibri"/>
          <w:b/>
          <w:bCs/>
          <w:sz w:val="21"/>
          <w:szCs w:val="21"/>
        </w:rPr>
        <w:t xml:space="preserve">12.1 Control interno y supervisión continua (Art. 37 Bis, fr. XII, RCG)</w:t>
      </w:r>
    </w:p>
    <w:p>
      <w:pPr>
        <w:spacing w:after="110"/>
      </w:pPr>
      <w:r>
        <w:rPr>
          <w:rFonts w:ascii="Calibri" w:cs="Calibri" w:eastAsia="Calibri" w:hAnsi="Calibri"/>
          <w:sz w:val="20"/>
          <w:szCs w:val="20"/>
        </w:rPr>
        <w:t xml:space="preserve">Además de la auditoría anual, se aplican los siguientes controles:</w:t>
      </w:r>
    </w:p>
    <w:p>
      <w:pPr>
        <w:spacing w:after="70"/>
      </w:pPr>
      <w:r>
        <w:rPr>
          <w:rFonts w:ascii="Calibri" w:cs="Calibri" w:eastAsia="Calibri" w:hAnsi="Calibri"/>
          <w:sz w:val="20"/>
          <w:szCs w:val="20"/>
        </w:rPr>
        <w:t xml:space="preserve">• Control preventivo: antes de formalizar cada acto u operación, el Profesional Titular o, en el despacho, el Representante de Cumplimiento — o la persona que designe — verifica con una lista de control que el expediente esté completo, el Grado de Riesgo asignado, las listas y la calidad de PEP consultadas, la forma de pago documentada y, en su caso, la aprobación o constancia de PEP de Riesgo alto.</w:t>
      </w:r>
    </w:p>
    <w:p>
      <w:pPr>
        <w:spacing w:after="70"/>
      </w:pPr>
      <w:r>
        <w:rPr>
          <w:rFonts w:ascii="Calibri" w:cs="Calibri" w:eastAsia="Calibri" w:hAnsi="Calibri"/>
          <w:sz w:val="20"/>
          <w:szCs w:val="20"/>
        </w:rPr>
        <w:t xml:space="preserve">• Control de detección mensual: conciliación de actos u operaciones, Avisos e informes y acuses (Documento D12-PROF); revisión de las alertas abiertas y de los Grados de Riesgo con reevaluación vencida.</w:t>
      </w:r>
    </w:p>
    <w:p>
      <w:pPr>
        <w:spacing w:after="70"/>
      </w:pPr>
      <w:r>
        <w:rPr>
          <w:rFonts w:ascii="Calibri" w:cs="Calibri" w:eastAsia="Calibri" w:hAnsi="Calibri"/>
          <w:sz w:val="20"/>
          <w:szCs w:val="20"/>
        </w:rPr>
        <w:t xml:space="preserve">• Revisión trimestral: muestra de al menos el 10 % de los expedientes del trimestre (mínimo cinco), revisada por una persona distinta de quien integró los expedientes o, si el profesional opera solo, por un tercero independiente, con hallazgos y acciones correctivas (criterio del Programa).</w:t>
      </w:r>
    </w:p>
    <w:p>
      <w:pPr>
        <w:spacing w:after="70"/>
      </w:pPr>
      <w:r>
        <w:rPr>
          <w:rFonts w:ascii="Calibri" w:cs="Calibri" w:eastAsia="Calibri" w:hAnsi="Calibri"/>
          <w:sz w:val="20"/>
          <w:szCs w:val="20"/>
        </w:rPr>
        <w:t xml:space="preserve">• Indicadores: porcentaje de expedientes completos, Avisos presentados en plazo, alertas atendidas en plazo y personal capacitado y acreditado.</w:t>
      </w:r>
    </w:p>
    <w:p>
      <w:pPr>
        <w:spacing w:after="70"/>
      </w:pPr>
      <w:r>
        <w:rPr>
          <w:rFonts w:ascii="Calibri" w:cs="Calibri" w:eastAsia="Calibri" w:hAnsi="Calibri"/>
          <w:sz w:val="20"/>
          <w:szCs w:val="20"/>
        </w:rPr>
        <w:t xml:space="preserve">• Informe: el Profesional Titular o, en el despacho, el Representante de Cumplimiento documenta semestralmente los resultados, hallazgos y acciones correctivas con responsable y fecha; el auditor revisa su seguimiento en la auditoría anual.</w:t>
      </w:r>
    </w:p>
    <w:p>
      <w:pPr>
        <w:spacing w:after="70"/>
      </w:pPr>
      <w:r>
        <w:rPr>
          <w:rFonts w:ascii="Calibri" w:cs="Calibri" w:eastAsia="Calibri" w:hAnsi="Calibri"/>
          <w:sz w:val="20"/>
          <w:szCs w:val="20"/>
        </w:rPr>
        <w:t xml:space="preserve">• Plan de seguimiento de observaciones: cada hallazgo del dictamen de auditoría y de la supervisión interna se registra con su acción correctiva, responsable y fecha compromiso —no mayor a 90 días para los calificados "No cumple" y a 180 días para "Cumple parcialmente" (criterio del Programa)—. El Profesional Titular o, en el despacho, el Representante de Cumplimiento da seguimiento trimestral, documenta el cierre con evidencia y presenta el estatus al siguiente auditor (Art. 42 RCG, programas de acción correctiva).</w:t>
      </w:r>
    </w:p>
    <w:p>
      <w:pPr>
        <w:shd w:fill="1F3864" w:val="clear"/>
        <w:spacing w:after="100" w:before="220"/>
      </w:pPr>
      <w:r>
        <w:rPr>
          <w:rFonts w:ascii="Calibri" w:cs="Calibri" w:eastAsia="Calibri" w:hAnsi="Calibri"/>
          <w:b/>
          <w:bCs/>
          <w:color w:val="FFFFFF"/>
          <w:sz w:val="22"/>
          <w:szCs w:val="22"/>
        </w:rPr>
        <w:t xml:space="preserve">Capítulo 13: Perfil Transaccional y Sistema de Alertas</w:t>
      </w:r>
    </w:p>
    <w:p>
      <w:pPr>
        <w:spacing w:after="110"/>
      </w:pPr>
      <w:r>
        <w:rPr>
          <w:rFonts w:ascii="Calibri" w:cs="Calibri" w:eastAsia="Calibri" w:hAnsi="Calibri"/>
          <w:sz w:val="20"/>
          <w:szCs w:val="20"/>
        </w:rPr>
        <w:t xml:space="preserve">El profesional determina el Perfil Transaccional inicial de cada cliente con base en la información que éste proporcione sobre los servicios que estima requerir, su frecuencia y su monto (art. 23 Ter 1 RCG), y lo incorpora a un sistema de alertas que permite detectar comportamientos que se aparten de lo esperado y que pudieran vincularse con los delitos de los arts. 139 Quáter o 400 Bis del Código Penal Federal (art. 23 Ter 2). El Perfil se reevalúa al menos cada seis meses y, ante cambios significativos, se actualiza el expediente (art. 23 Ter, fr. IV). Toda alerta se documenta en el D9-PROF.</w:t>
      </w:r>
    </w:p>
    <w:p>
      <w:pPr>
        <w:keepNext/>
        <w:spacing w:after="90" w:before="150"/>
      </w:pPr>
      <w:r>
        <w:rPr>
          <w:rFonts w:ascii="Calibri" w:cs="Calibri" w:eastAsia="Calibri" w:hAnsi="Calibri"/>
          <w:b/>
          <w:bCs/>
          <w:sz w:val="21"/>
          <w:szCs w:val="21"/>
        </w:rPr>
        <w:t xml:space="preserve">13.1 Parámetros del sistema de alertas y documentación de resultados (Art. 37 Bis, fr. V, RCG)</w:t>
      </w:r>
    </w:p>
    <w:p>
      <w:pPr>
        <w:spacing w:after="110"/>
      </w:pPr>
      <w:r>
        <w:rPr>
          <w:rFonts w:ascii="Calibri" w:cs="Calibri" w:eastAsia="Calibri" w:hAnsi="Calibri"/>
          <w:sz w:val="20"/>
          <w:szCs w:val="20"/>
        </w:rPr>
        <w:t xml:space="preserve">El sistema de alertas aplica, como mínimo, los parámetros siguientes:</w:t>
      </w:r>
    </w:p>
    <w:tbl>
      <w:tblPr>
        <w:tblW w:type="dxa" w:w="9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4300"/>
        <w:gridCol w:w="3500"/>
      </w:tblGrid>
      <w:tr>
        <w:trPr>
          <w:tblHeader/>
        </w:trPr>
        <w:tc>
          <w:tcPr>
            <w:tcW w:type="dxa" w:w="1700"/>
            <w:shd w:fill="1F3864"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Alerta</w:t>
            </w:r>
          </w:p>
        </w:tc>
        <w:tc>
          <w:tcPr>
            <w:tcW w:type="dxa" w:w="4300"/>
            <w:shd w:fill="1F3864"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Parámetro</w:t>
            </w:r>
          </w:p>
        </w:tc>
        <w:tc>
          <w:tcPr>
            <w:tcW w:type="dxa" w:w="3500"/>
            <w:shd w:fill="1F3864"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Acción</w:t>
            </w:r>
          </w:p>
        </w:tc>
      </w:tr>
      <w:tr>
        <w:trPr>
          <w:cantSplit/>
        </w:trPr>
        <w:tc>
          <w:tcPr>
            <w:tcW w:type="dxa" w:w="1700"/>
            <w:tcMar>
              <w:top w:type="dxa" w:w="60"/>
              <w:left w:type="dxa" w:w="100"/>
              <w:bottom w:type="dxa" w:w="60"/>
              <w:right w:type="dxa" w:w="100"/>
            </w:tcMar>
          </w:tcPr>
          <w:p>
            <w:pPr>
              <w:spacing w:after="0"/>
            </w:pPr>
            <w:r>
              <w:rPr>
                <w:rFonts w:ascii="Calibri" w:cs="Calibri" w:eastAsia="Calibri" w:hAnsi="Calibri"/>
                <w:sz w:val="18"/>
                <w:szCs w:val="18"/>
              </w:rPr>
              <w:t xml:space="preserve">Monto</w:t>
            </w:r>
          </w:p>
        </w:tc>
        <w:tc>
          <w:tcPr>
            <w:tcW w:type="dxa" w:w="4300"/>
            <w:tcMar>
              <w:top w:type="dxa" w:w="60"/>
              <w:left w:type="dxa" w:w="100"/>
              <w:bottom w:type="dxa" w:w="60"/>
              <w:right w:type="dxa" w:w="100"/>
            </w:tcMar>
          </w:tcPr>
          <w:p>
            <w:pPr>
              <w:spacing w:after="0"/>
            </w:pPr>
            <w:r>
              <w:rPr>
                <w:rFonts w:ascii="Calibri" w:cs="Calibri" w:eastAsia="Calibri" w:hAnsi="Calibri"/>
                <w:sz w:val="18"/>
                <w:szCs w:val="18"/>
              </w:rPr>
              <w:t xml:space="preserve">El acto u operación, o la suma de los realizados en el mes, excede en más de 20 % el monto máximo mensual declarado por el cliente (criterio del Programa).</w:t>
            </w:r>
          </w:p>
        </w:tc>
        <w:tc>
          <w:tcPr>
            <w:tcW w:type="dxa" w:w="3500"/>
            <w:tcMar>
              <w:top w:type="dxa" w:w="60"/>
              <w:left w:type="dxa" w:w="100"/>
              <w:bottom w:type="dxa" w:w="60"/>
              <w:right w:type="dxa" w:w="100"/>
            </w:tcMar>
          </w:tcPr>
          <w:p>
            <w:pPr>
              <w:spacing w:after="0"/>
            </w:pPr>
            <w:r>
              <w:rPr>
                <w:rFonts w:ascii="Calibri" w:cs="Calibri" w:eastAsia="Calibri" w:hAnsi="Calibri"/>
                <w:sz w:val="18"/>
                <w:szCs w:val="18"/>
              </w:rPr>
              <w:t xml:space="preserve">Solicitar y documentar la justificación en ≤ 2 días hábiles; actualizar el Perfil Transaccional o escalar.</w:t>
            </w:r>
          </w:p>
        </w:tc>
      </w:tr>
      <w:tr>
        <w:trPr>
          <w:cantSplit/>
        </w:trPr>
        <w:tc>
          <w:tcPr>
            <w:tcW w:type="dxa" w:w="1700"/>
            <w:tcMar>
              <w:top w:type="dxa" w:w="60"/>
              <w:left w:type="dxa" w:w="100"/>
              <w:bottom w:type="dxa" w:w="60"/>
              <w:right w:type="dxa" w:w="100"/>
            </w:tcMar>
          </w:tcPr>
          <w:p>
            <w:pPr>
              <w:spacing w:after="0"/>
            </w:pPr>
            <w:r>
              <w:rPr>
                <w:rFonts w:ascii="Calibri" w:cs="Calibri" w:eastAsia="Calibri" w:hAnsi="Calibri"/>
                <w:sz w:val="18"/>
                <w:szCs w:val="18"/>
              </w:rPr>
              <w:t xml:space="preserve">Forma de pago</w:t>
            </w:r>
          </w:p>
        </w:tc>
        <w:tc>
          <w:tcPr>
            <w:tcW w:type="dxa" w:w="4300"/>
            <w:tcMar>
              <w:top w:type="dxa" w:w="60"/>
              <w:left w:type="dxa" w:w="100"/>
              <w:bottom w:type="dxa" w:w="60"/>
              <w:right w:type="dxa" w:w="100"/>
            </w:tcMar>
          </w:tcPr>
          <w:p>
            <w:pPr>
              <w:spacing w:after="0"/>
            </w:pPr>
            <w:r>
              <w:rPr>
                <w:rFonts w:ascii="Calibri" w:cs="Calibri" w:eastAsia="Calibri" w:hAnsi="Calibri"/>
                <w:sz w:val="18"/>
                <w:szCs w:val="18"/>
              </w:rPr>
              <w:t xml:space="preserve">Cambio a efectivo, pago por un tercero, o recursos de una cuenta no declarada o del extranjero.</w:t>
            </w:r>
          </w:p>
        </w:tc>
        <w:tc>
          <w:tcPr>
            <w:tcW w:type="dxa" w:w="3500"/>
            <w:tcMar>
              <w:top w:type="dxa" w:w="60"/>
              <w:left w:type="dxa" w:w="100"/>
              <w:bottom w:type="dxa" w:w="60"/>
              <w:right w:type="dxa" w:w="100"/>
            </w:tcMar>
          </w:tcPr>
          <w:p>
            <w:pPr>
              <w:spacing w:after="0"/>
            </w:pPr>
            <w:r>
              <w:rPr>
                <w:rFonts w:ascii="Calibri" w:cs="Calibri" w:eastAsia="Calibri" w:hAnsi="Calibri"/>
                <w:sz w:val="18"/>
                <w:szCs w:val="18"/>
              </w:rPr>
              <w:t xml:space="preserve">Detener la recepción de recursos hasta verificar el origen; el efectivo en los supuestos del Art. 32 de la Ley está prohibido.</w:t>
            </w:r>
          </w:p>
        </w:tc>
      </w:tr>
      <w:tr>
        <w:trPr>
          <w:cantSplit/>
        </w:trPr>
        <w:tc>
          <w:tcPr>
            <w:tcW w:type="dxa" w:w="1700"/>
            <w:tcMar>
              <w:top w:type="dxa" w:w="60"/>
              <w:left w:type="dxa" w:w="100"/>
              <w:bottom w:type="dxa" w:w="60"/>
              <w:right w:type="dxa" w:w="100"/>
            </w:tcMar>
          </w:tcPr>
          <w:p>
            <w:pPr>
              <w:spacing w:after="0"/>
            </w:pPr>
            <w:r>
              <w:rPr>
                <w:rFonts w:ascii="Calibri" w:cs="Calibri" w:eastAsia="Calibri" w:hAnsi="Calibri"/>
                <w:sz w:val="18"/>
                <w:szCs w:val="18"/>
              </w:rPr>
              <w:t xml:space="preserve">Frecuencia</w:t>
            </w:r>
          </w:p>
        </w:tc>
        <w:tc>
          <w:tcPr>
            <w:tcW w:type="dxa" w:w="4300"/>
            <w:tcMar>
              <w:top w:type="dxa" w:w="60"/>
              <w:left w:type="dxa" w:w="100"/>
              <w:bottom w:type="dxa" w:w="60"/>
              <w:right w:type="dxa" w:w="100"/>
            </w:tcMar>
          </w:tcPr>
          <w:p>
            <w:pPr>
              <w:spacing w:after="0"/>
            </w:pPr>
            <w:r>
              <w:rPr>
                <w:rFonts w:ascii="Calibri" w:cs="Calibri" w:eastAsia="Calibri" w:hAnsi="Calibri"/>
                <w:sz w:val="18"/>
                <w:szCs w:val="18"/>
              </w:rPr>
              <w:t xml:space="preserve">Más actos u operaciones de los declarados en el periodo (p. ej., un segundo acto similar dentro de seis meses).</w:t>
            </w:r>
          </w:p>
        </w:tc>
        <w:tc>
          <w:tcPr>
            <w:tcW w:type="dxa" w:w="3500"/>
            <w:tcMar>
              <w:top w:type="dxa" w:w="60"/>
              <w:left w:type="dxa" w:w="100"/>
              <w:bottom w:type="dxa" w:w="60"/>
              <w:right w:type="dxa" w:w="100"/>
            </w:tcMar>
          </w:tcPr>
          <w:p>
            <w:pPr>
              <w:spacing w:after="0"/>
            </w:pPr>
            <w:r>
              <w:rPr>
                <w:rFonts w:ascii="Calibri" w:cs="Calibri" w:eastAsia="Calibri" w:hAnsi="Calibri"/>
                <w:sz w:val="18"/>
                <w:szCs w:val="18"/>
              </w:rPr>
              <w:t xml:space="preserve">Reevaluar el Grado de Riesgo y actualizar el expediente.</w:t>
            </w:r>
          </w:p>
        </w:tc>
      </w:tr>
      <w:tr>
        <w:trPr>
          <w:cantSplit/>
        </w:trPr>
        <w:tc>
          <w:tcPr>
            <w:tcW w:type="dxa" w:w="1700"/>
            <w:tcMar>
              <w:top w:type="dxa" w:w="60"/>
              <w:left w:type="dxa" w:w="100"/>
              <w:bottom w:type="dxa" w:w="60"/>
              <w:right w:type="dxa" w:w="100"/>
            </w:tcMar>
          </w:tcPr>
          <w:p>
            <w:pPr>
              <w:spacing w:after="0"/>
            </w:pPr>
            <w:r>
              <w:rPr>
                <w:rFonts w:ascii="Calibri" w:cs="Calibri" w:eastAsia="Calibri" w:hAnsi="Calibri"/>
                <w:sz w:val="18"/>
                <w:szCs w:val="18"/>
              </w:rPr>
              <w:t xml:space="preserve">Geografía</w:t>
            </w:r>
          </w:p>
        </w:tc>
        <w:tc>
          <w:tcPr>
            <w:tcW w:type="dxa" w:w="4300"/>
            <w:tcMar>
              <w:top w:type="dxa" w:w="60"/>
              <w:left w:type="dxa" w:w="100"/>
              <w:bottom w:type="dxa" w:w="60"/>
              <w:right w:type="dxa" w:w="100"/>
            </w:tcMar>
          </w:tcPr>
          <w:p>
            <w:pPr>
              <w:spacing w:after="0"/>
            </w:pPr>
            <w:r>
              <w:rPr>
                <w:rFonts w:ascii="Calibri" w:cs="Calibri" w:eastAsia="Calibri" w:hAnsi="Calibri"/>
                <w:sz w:val="18"/>
                <w:szCs w:val="18"/>
              </w:rPr>
              <w:t xml:space="preserve">Recursos, domicilio o contrapartes vinculados con jurisdicciones de Riesgo.</w:t>
            </w:r>
          </w:p>
        </w:tc>
        <w:tc>
          <w:tcPr>
            <w:tcW w:type="dxa" w:w="3500"/>
            <w:tcMar>
              <w:top w:type="dxa" w:w="60"/>
              <w:left w:type="dxa" w:w="100"/>
              <w:bottom w:type="dxa" w:w="60"/>
              <w:right w:type="dxa" w:w="100"/>
            </w:tcMar>
          </w:tcPr>
          <w:p>
            <w:pPr>
              <w:spacing w:after="0"/>
            </w:pPr>
            <w:r>
              <w:rPr>
                <w:rFonts w:ascii="Calibri" w:cs="Calibri" w:eastAsia="Calibri" w:hAnsi="Calibri"/>
                <w:sz w:val="18"/>
                <w:szCs w:val="18"/>
              </w:rPr>
              <w:t xml:space="preserve">Clasificar como Riesgo alto cuando corresponda (Art. 23 Bis 4 RCG).</w:t>
            </w:r>
          </w:p>
        </w:tc>
      </w:tr>
      <w:tr>
        <w:trPr>
          <w:cantSplit/>
        </w:trPr>
        <w:tc>
          <w:tcPr>
            <w:tcW w:type="dxa" w:w="1700"/>
            <w:tcMar>
              <w:top w:type="dxa" w:w="60"/>
              <w:left w:type="dxa" w:w="100"/>
              <w:bottom w:type="dxa" w:w="60"/>
              <w:right w:type="dxa" w:w="100"/>
            </w:tcMar>
          </w:tcPr>
          <w:p>
            <w:pPr>
              <w:spacing w:after="0"/>
            </w:pPr>
            <w:r>
              <w:rPr>
                <w:rFonts w:ascii="Calibri" w:cs="Calibri" w:eastAsia="Calibri" w:hAnsi="Calibri"/>
                <w:sz w:val="18"/>
                <w:szCs w:val="18"/>
              </w:rPr>
              <w:t xml:space="preserve">Listas y PEP</w:t>
            </w:r>
          </w:p>
        </w:tc>
        <w:tc>
          <w:tcPr>
            <w:tcW w:type="dxa" w:w="4300"/>
            <w:tcMar>
              <w:top w:type="dxa" w:w="60"/>
              <w:left w:type="dxa" w:w="100"/>
              <w:bottom w:type="dxa" w:w="60"/>
              <w:right w:type="dxa" w:w="100"/>
            </w:tcMar>
          </w:tcPr>
          <w:p>
            <w:pPr>
              <w:spacing w:after="0"/>
            </w:pPr>
            <w:r>
              <w:rPr>
                <w:rFonts w:ascii="Calibri" w:cs="Calibri" w:eastAsia="Calibri" w:hAnsi="Calibri"/>
                <w:sz w:val="18"/>
                <w:szCs w:val="18"/>
              </w:rPr>
              <w:t xml:space="preserve">Coincidencia en listas o adquisición de la calidad de PEP.</w:t>
            </w:r>
          </w:p>
        </w:tc>
        <w:tc>
          <w:tcPr>
            <w:tcW w:type="dxa" w:w="3500"/>
            <w:tcMar>
              <w:top w:type="dxa" w:w="60"/>
              <w:left w:type="dxa" w:w="100"/>
              <w:bottom w:type="dxa" w:w="60"/>
              <w:right w:type="dxa" w:w="100"/>
            </w:tcMar>
          </w:tcPr>
          <w:p>
            <w:pPr>
              <w:spacing w:after="0"/>
            </w:pPr>
            <w:r>
              <w:rPr>
                <w:rFonts w:ascii="Calibri" w:cs="Calibri" w:eastAsia="Calibri" w:hAnsi="Calibri"/>
                <w:sz w:val="18"/>
                <w:szCs w:val="18"/>
              </w:rPr>
              <w:t xml:space="preserve">Aplicar el procedimiento de listas o la política de PEP's de este Manual.</w:t>
            </w:r>
          </w:p>
        </w:tc>
      </w:tr>
      <w:tr>
        <w:trPr>
          <w:cantSplit/>
        </w:trPr>
        <w:tc>
          <w:tcPr>
            <w:tcW w:type="dxa" w:w="1700"/>
            <w:tcMar>
              <w:top w:type="dxa" w:w="60"/>
              <w:left w:type="dxa" w:w="100"/>
              <w:bottom w:type="dxa" w:w="60"/>
              <w:right w:type="dxa" w:w="100"/>
            </w:tcMar>
          </w:tcPr>
          <w:p>
            <w:pPr>
              <w:spacing w:after="0"/>
            </w:pPr>
            <w:r>
              <w:rPr>
                <w:rFonts w:ascii="Calibri" w:cs="Calibri" w:eastAsia="Calibri" w:hAnsi="Calibri"/>
                <w:sz w:val="18"/>
                <w:szCs w:val="18"/>
              </w:rPr>
              <w:t xml:space="preserve">Recursos administrados</w:t>
            </w:r>
          </w:p>
        </w:tc>
        <w:tc>
          <w:tcPr>
            <w:tcW w:type="dxa" w:w="4300"/>
            <w:tcMar>
              <w:top w:type="dxa" w:w="60"/>
              <w:left w:type="dxa" w:w="100"/>
              <w:bottom w:type="dxa" w:w="60"/>
              <w:right w:type="dxa" w:w="100"/>
            </w:tcMar>
          </w:tcPr>
          <w:p>
            <w:pPr>
              <w:spacing w:after="0"/>
            </w:pPr>
            <w:r>
              <w:rPr>
                <w:rFonts w:ascii="Calibri" w:cs="Calibri" w:eastAsia="Calibri" w:hAnsi="Calibri"/>
                <w:sz w:val="18"/>
                <w:szCs w:val="18"/>
              </w:rPr>
              <w:t xml:space="preserve">Recursos recibidos o administrados por cuenta del cliente que exceden lo declarado, o instrucciones de transferir a terceros sin relación aparente.</w:t>
            </w:r>
          </w:p>
        </w:tc>
        <w:tc>
          <w:tcPr>
            <w:tcW w:type="dxa" w:w="3500"/>
            <w:tcMar>
              <w:top w:type="dxa" w:w="60"/>
              <w:left w:type="dxa" w:w="100"/>
              <w:bottom w:type="dxa" w:w="60"/>
              <w:right w:type="dxa" w:w="100"/>
            </w:tcMar>
          </w:tcPr>
          <w:p>
            <w:pPr>
              <w:spacing w:after="0"/>
            </w:pPr>
            <w:r>
              <w:rPr>
                <w:rFonts w:ascii="Calibri" w:cs="Calibri" w:eastAsia="Calibri" w:hAnsi="Calibri"/>
                <w:sz w:val="18"/>
                <w:szCs w:val="18"/>
              </w:rPr>
              <w:t xml:space="preserve">Suspender la ejecución hasta documentar la justificación; analizar Aviso (D9-PROF).</w:t>
            </w:r>
          </w:p>
        </w:tc>
      </w:tr>
      <w:tr>
        <w:trPr>
          <w:cantSplit/>
        </w:trPr>
        <w:tc>
          <w:tcPr>
            <w:tcW w:type="dxa" w:w="1700"/>
            <w:tcMar>
              <w:top w:type="dxa" w:w="60"/>
              <w:left w:type="dxa" w:w="100"/>
              <w:bottom w:type="dxa" w:w="60"/>
              <w:right w:type="dxa" w:w="100"/>
            </w:tcMar>
          </w:tcPr>
          <w:p>
            <w:pPr>
              <w:spacing w:after="0"/>
            </w:pPr>
            <w:r>
              <w:rPr>
                <w:rFonts w:ascii="Calibri" w:cs="Calibri" w:eastAsia="Calibri" w:hAnsi="Calibri"/>
                <w:sz w:val="18"/>
                <w:szCs w:val="18"/>
              </w:rPr>
              <w:t xml:space="preserve">Estructuras</w:t>
            </w:r>
          </w:p>
        </w:tc>
        <w:tc>
          <w:tcPr>
            <w:tcW w:type="dxa" w:w="4300"/>
            <w:tcMar>
              <w:top w:type="dxa" w:w="60"/>
              <w:left w:type="dxa" w:w="100"/>
              <w:bottom w:type="dxa" w:w="60"/>
              <w:right w:type="dxa" w:w="100"/>
            </w:tcMar>
          </w:tcPr>
          <w:p>
            <w:pPr>
              <w:spacing w:after="0"/>
            </w:pPr>
            <w:r>
              <w:rPr>
                <w:rFonts w:ascii="Calibri" w:cs="Calibri" w:eastAsia="Calibri" w:hAnsi="Calibri"/>
                <w:sz w:val="18"/>
                <w:szCs w:val="18"/>
              </w:rPr>
              <w:t xml:space="preserve">Constitución de varias sociedades o aportaciones de capital en poco tiempo sin propósito económico claro.</w:t>
            </w:r>
          </w:p>
        </w:tc>
        <w:tc>
          <w:tcPr>
            <w:tcW w:type="dxa" w:w="3500"/>
            <w:tcMar>
              <w:top w:type="dxa" w:w="60"/>
              <w:left w:type="dxa" w:w="100"/>
              <w:bottom w:type="dxa" w:w="60"/>
              <w:right w:type="dxa" w:w="100"/>
            </w:tcMar>
          </w:tcPr>
          <w:p>
            <w:pPr>
              <w:spacing w:after="0"/>
            </w:pPr>
            <w:r>
              <w:rPr>
                <w:rFonts w:ascii="Calibri" w:cs="Calibri" w:eastAsia="Calibri" w:hAnsi="Calibri"/>
                <w:sz w:val="18"/>
                <w:szCs w:val="18"/>
              </w:rPr>
              <w:t xml:space="preserve">Identificar al Beneficiario Controlador y el origen de las aportaciones.</w:t>
            </w:r>
          </w:p>
        </w:tc>
      </w:tr>
    </w:tbl>
    <w:p>
      <w:pPr>
        <w:spacing w:after="80"/>
      </w:pPr>
    </w:p>
    <w:p>
      <w:pPr>
        <w:spacing w:after="110"/>
      </w:pPr>
      <w:r>
        <w:rPr>
          <w:rFonts w:ascii="Calibri" w:cs="Calibri" w:eastAsia="Calibri" w:hAnsi="Calibri"/>
          <w:sz w:val="20"/>
          <w:szCs w:val="20"/>
        </w:rPr>
        <w:t xml:space="preserve">Cada alerta se registra con fecha, cliente, parámetro, análisis, decisión (descartada; Perfil actualizado; reclasificación del Grado de Riesgo; o análisis de Aviso) y responsable. Si una alerta no puede descartarse razonablemente, se analiza conforme al Documento D9-PROF para determinar si procede el Aviso dentro de las 24 horas siguientes. Los registros se conservan diez años e integran los mecanismos automatizados.</w:t>
      </w:r>
    </w:p>
    <w:p>
      <w:pPr>
        <w:keepNext/>
        <w:spacing w:after="90" w:before="150"/>
      </w:pPr>
      <w:r>
        <w:rPr>
          <w:rFonts w:ascii="Calibri" w:cs="Calibri" w:eastAsia="Calibri" w:hAnsi="Calibri"/>
          <w:b/>
          <w:bCs/>
          <w:sz w:val="21"/>
          <w:szCs w:val="21"/>
        </w:rPr>
        <w:t xml:space="preserve">13.2 Procedimiento interno de análisis y dictamen de alertas</w:t>
      </w:r>
    </w:p>
    <w:p>
      <w:pPr>
        <w:spacing w:after="110"/>
      </w:pPr>
      <w:r>
        <w:rPr>
          <w:rFonts w:ascii="Calibri" w:cs="Calibri" w:eastAsia="Calibri" w:hAnsi="Calibri"/>
          <w:sz w:val="20"/>
          <w:szCs w:val="20"/>
        </w:rPr>
        <w:t xml:space="preserve">Toda alerta —por desviación del Perfil Transaccional, señal de alerta, coincidencia en listas o PEP, o jurisdicción de Riesgo— sigue este flujo. Los plazos internos son criterio del Programa; el plazo de 24 horas es legal.</w:t>
      </w:r>
    </w:p>
    <w:tbl>
      <w:tblPr>
        <w:tblW w:type="dxa" w:w="9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4600"/>
        <w:gridCol w:w="2600"/>
      </w:tblGrid>
      <w:tr>
        <w:trPr>
          <w:tblHeader/>
        </w:trPr>
        <w:tc>
          <w:tcPr>
            <w:tcW w:type="dxa" w:w="2300"/>
            <w:shd w:fill="1F3864"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Etapa</w:t>
            </w:r>
          </w:p>
        </w:tc>
        <w:tc>
          <w:tcPr>
            <w:tcW w:type="dxa" w:w="4600"/>
            <w:shd w:fill="1F3864"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Actividad</w:t>
            </w:r>
          </w:p>
        </w:tc>
        <w:tc>
          <w:tcPr>
            <w:tcW w:type="dxa" w:w="2600"/>
            <w:shd w:fill="1F3864"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Plazo</w:t>
            </w:r>
          </w:p>
        </w:tc>
      </w:tr>
      <w:tr>
        <w:trPr>
          <w:cantSplit/>
        </w:trPr>
        <w:tc>
          <w:tcPr>
            <w:tcW w:type="dxa" w:w="2300"/>
            <w:tcMar>
              <w:top w:type="dxa" w:w="60"/>
              <w:left w:type="dxa" w:w="100"/>
              <w:bottom w:type="dxa" w:w="60"/>
              <w:right w:type="dxa" w:w="100"/>
            </w:tcMar>
          </w:tcPr>
          <w:p>
            <w:pPr>
              <w:spacing w:after="0"/>
            </w:pPr>
            <w:r>
              <w:rPr>
                <w:rFonts w:ascii="Calibri" w:cs="Calibri" w:eastAsia="Calibri" w:hAnsi="Calibri"/>
                <w:sz w:val="18"/>
                <w:szCs w:val="18"/>
              </w:rPr>
              <w:t xml:space="preserve">1. Registro</w:t>
            </w:r>
          </w:p>
        </w:tc>
        <w:tc>
          <w:tcPr>
            <w:tcW w:type="dxa" w:w="4600"/>
            <w:tcMar>
              <w:top w:type="dxa" w:w="60"/>
              <w:left w:type="dxa" w:w="100"/>
              <w:bottom w:type="dxa" w:w="60"/>
              <w:right w:type="dxa" w:w="100"/>
            </w:tcMar>
          </w:tcPr>
          <w:p>
            <w:pPr>
              <w:spacing w:after="0"/>
            </w:pPr>
            <w:r>
              <w:rPr>
                <w:rFonts w:ascii="Calibri" w:cs="Calibri" w:eastAsia="Calibri" w:hAnsi="Calibri"/>
                <w:sz w:val="18"/>
                <w:szCs w:val="18"/>
              </w:rPr>
              <w:t xml:space="preserve">Se registra la alerta con fecha, cliente, origen y parámetro activado.</w:t>
            </w:r>
          </w:p>
        </w:tc>
        <w:tc>
          <w:tcPr>
            <w:tcW w:type="dxa" w:w="2600"/>
            <w:tcMar>
              <w:top w:type="dxa" w:w="60"/>
              <w:left w:type="dxa" w:w="100"/>
              <w:bottom w:type="dxa" w:w="60"/>
              <w:right w:type="dxa" w:w="100"/>
            </w:tcMar>
          </w:tcPr>
          <w:p>
            <w:pPr>
              <w:spacing w:after="0"/>
            </w:pPr>
            <w:r>
              <w:rPr>
                <w:rFonts w:ascii="Calibri" w:cs="Calibri" w:eastAsia="Calibri" w:hAnsi="Calibri"/>
                <w:sz w:val="18"/>
                <w:szCs w:val="18"/>
              </w:rPr>
              <w:t xml:space="preserve">El mismo día en que se genera</w:t>
            </w:r>
          </w:p>
        </w:tc>
      </w:tr>
      <w:tr>
        <w:trPr>
          <w:cantSplit/>
        </w:trPr>
        <w:tc>
          <w:tcPr>
            <w:tcW w:type="dxa" w:w="2300"/>
            <w:tcMar>
              <w:top w:type="dxa" w:w="60"/>
              <w:left w:type="dxa" w:w="100"/>
              <w:bottom w:type="dxa" w:w="60"/>
              <w:right w:type="dxa" w:w="100"/>
            </w:tcMar>
          </w:tcPr>
          <w:p>
            <w:pPr>
              <w:spacing w:after="0"/>
            </w:pPr>
            <w:r>
              <w:rPr>
                <w:rFonts w:ascii="Calibri" w:cs="Calibri" w:eastAsia="Calibri" w:hAnsi="Calibri"/>
                <w:sz w:val="18"/>
                <w:szCs w:val="18"/>
              </w:rPr>
              <w:t xml:space="preserve">2. Análisis preliminar</w:t>
            </w:r>
          </w:p>
        </w:tc>
        <w:tc>
          <w:tcPr>
            <w:tcW w:type="dxa" w:w="4600"/>
            <w:tcMar>
              <w:top w:type="dxa" w:w="60"/>
              <w:left w:type="dxa" w:w="100"/>
              <w:bottom w:type="dxa" w:w="60"/>
              <w:right w:type="dxa" w:w="100"/>
            </w:tcMar>
          </w:tcPr>
          <w:p>
            <w:pPr>
              <w:spacing w:after="0"/>
            </w:pPr>
            <w:r>
              <w:rPr>
                <w:rFonts w:ascii="Calibri" w:cs="Calibri" w:eastAsia="Calibri" w:hAnsi="Calibri"/>
                <w:sz w:val="18"/>
                <w:szCs w:val="18"/>
              </w:rPr>
              <w:t xml:space="preserve">Se revisan el expediente, el Perfil Transaccional y el historial. Si hace falta información del cliente, se solicita como actualización ordinaria del expediente, sin revelar la existencia de la alerta (capítulo 16).</w:t>
            </w:r>
          </w:p>
        </w:tc>
        <w:tc>
          <w:tcPr>
            <w:tcW w:type="dxa" w:w="2600"/>
            <w:tcMar>
              <w:top w:type="dxa" w:w="60"/>
              <w:left w:type="dxa" w:w="100"/>
              <w:bottom w:type="dxa" w:w="60"/>
              <w:right w:type="dxa" w:w="100"/>
            </w:tcMar>
          </w:tcPr>
          <w:p>
            <w:pPr>
              <w:spacing w:after="0"/>
            </w:pPr>
            <w:r>
              <w:rPr>
                <w:rFonts w:ascii="Calibri" w:cs="Calibri" w:eastAsia="Calibri" w:hAnsi="Calibri"/>
                <w:sz w:val="18"/>
                <w:szCs w:val="18"/>
              </w:rPr>
              <w:t xml:space="preserve">≤ 2 días hábiles</w:t>
            </w:r>
          </w:p>
        </w:tc>
      </w:tr>
      <w:tr>
        <w:trPr>
          <w:cantSplit/>
        </w:trPr>
        <w:tc>
          <w:tcPr>
            <w:tcW w:type="dxa" w:w="2300"/>
            <w:tcMar>
              <w:top w:type="dxa" w:w="60"/>
              <w:left w:type="dxa" w:w="100"/>
              <w:bottom w:type="dxa" w:w="60"/>
              <w:right w:type="dxa" w:w="100"/>
            </w:tcMar>
          </w:tcPr>
          <w:p>
            <w:pPr>
              <w:spacing w:after="0"/>
            </w:pPr>
            <w:r>
              <w:rPr>
                <w:rFonts w:ascii="Calibri" w:cs="Calibri" w:eastAsia="Calibri" w:hAnsi="Calibri"/>
                <w:sz w:val="18"/>
                <w:szCs w:val="18"/>
              </w:rPr>
              <w:t xml:space="preserve">3. Escalamiento</w:t>
            </w:r>
          </w:p>
        </w:tc>
        <w:tc>
          <w:tcPr>
            <w:tcW w:type="dxa" w:w="4600"/>
            <w:tcMar>
              <w:top w:type="dxa" w:w="60"/>
              <w:left w:type="dxa" w:w="100"/>
              <w:bottom w:type="dxa" w:w="60"/>
              <w:right w:type="dxa" w:w="100"/>
            </w:tcMar>
          </w:tcPr>
          <w:p>
            <w:pPr>
              <w:spacing w:after="0"/>
            </w:pPr>
            <w:r>
              <w:rPr>
                <w:rFonts w:ascii="Calibri" w:cs="Calibri" w:eastAsia="Calibri" w:hAnsi="Calibri"/>
                <w:sz w:val="18"/>
                <w:szCs w:val="18"/>
              </w:rPr>
              <w:t xml:space="preserve">Si la alerta no se descarta, se escala al Profesional Titular o, en el despacho, el Representante de Cumplimiento. Las alertas de listas, PEP de Riesgo alto o jurisdicciones de Riesgo se escalan de inmediato.</w:t>
            </w:r>
          </w:p>
        </w:tc>
        <w:tc>
          <w:tcPr>
            <w:tcW w:type="dxa" w:w="2600"/>
            <w:tcMar>
              <w:top w:type="dxa" w:w="60"/>
              <w:left w:type="dxa" w:w="100"/>
              <w:bottom w:type="dxa" w:w="60"/>
              <w:right w:type="dxa" w:w="100"/>
            </w:tcMar>
          </w:tcPr>
          <w:p>
            <w:pPr>
              <w:spacing w:after="0"/>
            </w:pPr>
            <w:r>
              <w:rPr>
                <w:rFonts w:ascii="Calibri" w:cs="Calibri" w:eastAsia="Calibri" w:hAnsi="Calibri"/>
                <w:sz w:val="18"/>
                <w:szCs w:val="18"/>
              </w:rPr>
              <w:t xml:space="preserve">Inmediato al concluir la etapa 2</w:t>
            </w:r>
          </w:p>
        </w:tc>
      </w:tr>
      <w:tr>
        <w:trPr>
          <w:cantSplit/>
        </w:trPr>
        <w:tc>
          <w:tcPr>
            <w:tcW w:type="dxa" w:w="2300"/>
            <w:tcMar>
              <w:top w:type="dxa" w:w="60"/>
              <w:left w:type="dxa" w:w="100"/>
              <w:bottom w:type="dxa" w:w="60"/>
              <w:right w:type="dxa" w:w="100"/>
            </w:tcMar>
          </w:tcPr>
          <w:p>
            <w:pPr>
              <w:spacing w:after="0"/>
            </w:pPr>
            <w:r>
              <w:rPr>
                <w:rFonts w:ascii="Calibri" w:cs="Calibri" w:eastAsia="Calibri" w:hAnsi="Calibri"/>
                <w:sz w:val="18"/>
                <w:szCs w:val="18"/>
              </w:rPr>
              <w:t xml:space="preserve">4. Dictamen</w:t>
            </w:r>
          </w:p>
        </w:tc>
        <w:tc>
          <w:tcPr>
            <w:tcW w:type="dxa" w:w="4600"/>
            <w:tcMar>
              <w:top w:type="dxa" w:w="60"/>
              <w:left w:type="dxa" w:w="100"/>
              <w:bottom w:type="dxa" w:w="60"/>
              <w:right w:type="dxa" w:w="100"/>
            </w:tcMar>
          </w:tcPr>
          <w:p>
            <w:pPr>
              <w:spacing w:after="0"/>
            </w:pPr>
            <w:r>
              <w:rPr>
                <w:rFonts w:ascii="Calibri" w:cs="Calibri" w:eastAsia="Calibri" w:hAnsi="Calibri"/>
                <w:sz w:val="18"/>
                <w:szCs w:val="18"/>
              </w:rPr>
              <w:t xml:space="preserve">Conclusión escrita y motivada: (a) descartada; (b) inusual sin elementos de sospecha → actualizar el Perfil y aplicar monitoreo reforzado; (c) sospechosa → Aviso por sospecha; (d) coincidencia confirmada en listas → abstención y Aviso.</w:t>
            </w:r>
          </w:p>
        </w:tc>
        <w:tc>
          <w:tcPr>
            <w:tcW w:type="dxa" w:w="2600"/>
            <w:tcMar>
              <w:top w:type="dxa" w:w="60"/>
              <w:left w:type="dxa" w:w="100"/>
              <w:bottom w:type="dxa" w:w="60"/>
              <w:right w:type="dxa" w:w="100"/>
            </w:tcMar>
          </w:tcPr>
          <w:p>
            <w:pPr>
              <w:spacing w:after="0"/>
            </w:pPr>
            <w:r>
              <w:rPr>
                <w:rFonts w:ascii="Calibri" w:cs="Calibri" w:eastAsia="Calibri" w:hAnsi="Calibri"/>
                <w:sz w:val="18"/>
                <w:szCs w:val="18"/>
              </w:rPr>
              <w:t xml:space="preserve">≤ 5 días hábiles desde la alerta</w:t>
            </w:r>
          </w:p>
        </w:tc>
      </w:tr>
      <w:tr>
        <w:trPr>
          <w:cantSplit/>
        </w:trPr>
        <w:tc>
          <w:tcPr>
            <w:tcW w:type="dxa" w:w="2300"/>
            <w:tcMar>
              <w:top w:type="dxa" w:w="60"/>
              <w:left w:type="dxa" w:w="100"/>
              <w:bottom w:type="dxa" w:w="60"/>
              <w:right w:type="dxa" w:w="100"/>
            </w:tcMar>
          </w:tcPr>
          <w:p>
            <w:pPr>
              <w:spacing w:after="0"/>
            </w:pPr>
            <w:r>
              <w:rPr>
                <w:rFonts w:ascii="Calibri" w:cs="Calibri" w:eastAsia="Calibri" w:hAnsi="Calibri"/>
                <w:sz w:val="18"/>
                <w:szCs w:val="18"/>
              </w:rPr>
              <w:t xml:space="preserve">5. Aviso de 24 horas</w:t>
            </w:r>
          </w:p>
        </w:tc>
        <w:tc>
          <w:tcPr>
            <w:tcW w:type="dxa" w:w="4600"/>
            <w:tcMar>
              <w:top w:type="dxa" w:w="60"/>
              <w:left w:type="dxa" w:w="100"/>
              <w:bottom w:type="dxa" w:w="60"/>
              <w:right w:type="dxa" w:w="100"/>
            </w:tcMar>
          </w:tcPr>
          <w:p>
            <w:pPr>
              <w:spacing w:after="0"/>
            </w:pPr>
            <w:r>
              <w:rPr>
                <w:rFonts w:ascii="Calibri" w:cs="Calibri" w:eastAsia="Calibri" w:hAnsi="Calibri"/>
                <w:sz w:val="18"/>
                <w:szCs w:val="18"/>
              </w:rPr>
              <w:t xml:space="preserve">En los casos (c) y (d), el Aviso se presenta dentro de las 24 horas siguientes a que se reconoció la conducta inusitada o el indicio (Arts. 26 Bis, 26 Bis 1 y 27 RCG), aunque el acto no se haya celebrado o no alcance el umbral. Formato: Documento D9-PROF.</w:t>
            </w:r>
          </w:p>
        </w:tc>
        <w:tc>
          <w:tcPr>
            <w:tcW w:type="dxa" w:w="2600"/>
            <w:tcMar>
              <w:top w:type="dxa" w:w="60"/>
              <w:left w:type="dxa" w:w="100"/>
              <w:bottom w:type="dxa" w:w="60"/>
              <w:right w:type="dxa" w:w="100"/>
            </w:tcMar>
          </w:tcPr>
          <w:p>
            <w:pPr>
              <w:spacing w:after="0"/>
            </w:pPr>
            <w:r>
              <w:rPr>
                <w:rFonts w:ascii="Calibri" w:cs="Calibri" w:eastAsia="Calibri" w:hAnsi="Calibri"/>
                <w:sz w:val="18"/>
                <w:szCs w:val="18"/>
              </w:rPr>
              <w:t xml:space="preserve">24 horas (plazo legal)</w:t>
            </w:r>
          </w:p>
        </w:tc>
      </w:tr>
      <w:tr>
        <w:trPr>
          <w:cantSplit/>
        </w:trPr>
        <w:tc>
          <w:tcPr>
            <w:tcW w:type="dxa" w:w="2300"/>
            <w:tcMar>
              <w:top w:type="dxa" w:w="60"/>
              <w:left w:type="dxa" w:w="100"/>
              <w:bottom w:type="dxa" w:w="60"/>
              <w:right w:type="dxa" w:w="100"/>
            </w:tcMar>
          </w:tcPr>
          <w:p>
            <w:pPr>
              <w:spacing w:after="0"/>
            </w:pPr>
            <w:r>
              <w:rPr>
                <w:rFonts w:ascii="Calibri" w:cs="Calibri" w:eastAsia="Calibri" w:hAnsi="Calibri"/>
                <w:sz w:val="18"/>
                <w:szCs w:val="18"/>
              </w:rPr>
              <w:t xml:space="preserve">6. Decisión sobre la relación</w:t>
            </w:r>
          </w:p>
        </w:tc>
        <w:tc>
          <w:tcPr>
            <w:tcW w:type="dxa" w:w="4600"/>
            <w:tcMar>
              <w:top w:type="dxa" w:w="60"/>
              <w:left w:type="dxa" w:w="100"/>
              <w:bottom w:type="dxa" w:w="60"/>
              <w:right w:type="dxa" w:w="100"/>
            </w:tcMar>
          </w:tcPr>
          <w:p>
            <w:pPr>
              <w:spacing w:after="0"/>
            </w:pPr>
            <w:r>
              <w:rPr>
                <w:rFonts w:ascii="Calibri" w:cs="Calibri" w:eastAsia="Calibri" w:hAnsi="Calibri"/>
                <w:sz w:val="18"/>
                <w:szCs w:val="18"/>
              </w:rPr>
              <w:t xml:space="preserve">Continuar, limitar o terminar la relación conforme a los criterios de apertura, limitación y terminación de este Manual.</w:t>
            </w:r>
          </w:p>
        </w:tc>
        <w:tc>
          <w:tcPr>
            <w:tcW w:type="dxa" w:w="2600"/>
            <w:tcMar>
              <w:top w:type="dxa" w:w="60"/>
              <w:left w:type="dxa" w:w="100"/>
              <w:bottom w:type="dxa" w:w="60"/>
              <w:right w:type="dxa" w:w="100"/>
            </w:tcMar>
          </w:tcPr>
          <w:p>
            <w:pPr>
              <w:spacing w:after="0"/>
            </w:pPr>
            <w:r>
              <w:rPr>
                <w:rFonts w:ascii="Calibri" w:cs="Calibri" w:eastAsia="Calibri" w:hAnsi="Calibri"/>
                <w:sz w:val="18"/>
                <w:szCs w:val="18"/>
              </w:rPr>
              <w:t xml:space="preserve">Junto con el dictamen</w:t>
            </w:r>
          </w:p>
        </w:tc>
      </w:tr>
      <w:tr>
        <w:trPr>
          <w:cantSplit/>
        </w:trPr>
        <w:tc>
          <w:tcPr>
            <w:tcW w:type="dxa" w:w="2300"/>
            <w:tcMar>
              <w:top w:type="dxa" w:w="60"/>
              <w:left w:type="dxa" w:w="100"/>
              <w:bottom w:type="dxa" w:w="60"/>
              <w:right w:type="dxa" w:w="100"/>
            </w:tcMar>
          </w:tcPr>
          <w:p>
            <w:pPr>
              <w:spacing w:after="0"/>
            </w:pPr>
            <w:r>
              <w:rPr>
                <w:rFonts w:ascii="Calibri" w:cs="Calibri" w:eastAsia="Calibri" w:hAnsi="Calibri"/>
                <w:sz w:val="18"/>
                <w:szCs w:val="18"/>
              </w:rPr>
              <w:t xml:space="preserve">7. Conservación</w:t>
            </w:r>
          </w:p>
        </w:tc>
        <w:tc>
          <w:tcPr>
            <w:tcW w:type="dxa" w:w="4600"/>
            <w:tcMar>
              <w:top w:type="dxa" w:w="60"/>
              <w:left w:type="dxa" w:w="100"/>
              <w:bottom w:type="dxa" w:w="60"/>
              <w:right w:type="dxa" w:w="100"/>
            </w:tcMar>
          </w:tcPr>
          <w:p>
            <w:pPr>
              <w:spacing w:after="0"/>
            </w:pPr>
            <w:r>
              <w:rPr>
                <w:rFonts w:ascii="Calibri" w:cs="Calibri" w:eastAsia="Calibri" w:hAnsi="Calibri"/>
                <w:sz w:val="18"/>
                <w:szCs w:val="18"/>
              </w:rPr>
              <w:t xml:space="preserve">El registro, análisis, dictamen y evidencia se conservan diez años bajo confidencialidad.</w:t>
            </w:r>
          </w:p>
        </w:tc>
        <w:tc>
          <w:tcPr>
            <w:tcW w:type="dxa" w:w="2600"/>
            <w:tcMar>
              <w:top w:type="dxa" w:w="60"/>
              <w:left w:type="dxa" w:w="100"/>
              <w:bottom w:type="dxa" w:w="60"/>
              <w:right w:type="dxa" w:w="100"/>
            </w:tcMar>
          </w:tcPr>
          <w:p>
            <w:pPr>
              <w:spacing w:after="0"/>
            </w:pPr>
            <w:r>
              <w:rPr>
                <w:rFonts w:ascii="Calibri" w:cs="Calibri" w:eastAsia="Calibri" w:hAnsi="Calibri"/>
                <w:sz w:val="18"/>
                <w:szCs w:val="18"/>
              </w:rPr>
              <w:t xml:space="preserve">Permanente</w:t>
            </w:r>
          </w:p>
        </w:tc>
      </w:tr>
    </w:tbl>
    <w:p>
      <w:pPr>
        <w:spacing w:after="80"/>
      </w:pPr>
    </w:p>
    <w:p>
      <w:pPr>
        <w:spacing w:after="110"/>
      </w:pPr>
      <w:r>
        <w:rPr>
          <w:rFonts w:ascii="Calibri" w:cs="Calibri" w:eastAsia="Calibri" w:hAnsi="Calibri"/>
          <w:sz w:val="20"/>
          <w:szCs w:val="20"/>
        </w:rPr>
        <w:t xml:space="preserve">El análisis no puede usarse para diferir el Aviso: en cuanto se reconoce la conducta inusitada o el indicio, corre el plazo de 24 horas. En el régimen de la LFPIORPI, los actos que alcanzan el umbral se reportan mediante el Aviso mensual ordinario, con independencia de este procedimiento.</w:t>
      </w:r>
    </w:p>
    <w:p>
      <w:pPr>
        <w:shd w:fill="1F3864" w:val="clear"/>
        <w:spacing w:after="100" w:before="220"/>
      </w:pPr>
      <w:r>
        <w:rPr>
          <w:rFonts w:ascii="Calibri" w:cs="Calibri" w:eastAsia="Calibri" w:hAnsi="Calibri"/>
          <w:b/>
          <w:bCs/>
          <w:color w:val="FFFFFF"/>
          <w:sz w:val="22"/>
          <w:szCs w:val="22"/>
        </w:rPr>
        <w:t xml:space="preserve">Capítulo 14: Seguimiento, Actualización y Reevaluación</w:t>
      </w:r>
    </w:p>
    <w:p>
      <w:pPr>
        <w:spacing w:after="110"/>
      </w:pPr>
      <w:r>
        <w:rPr>
          <w:rFonts w:ascii="Calibri" w:cs="Calibri" w:eastAsia="Calibri" w:hAnsi="Calibri"/>
          <w:sz w:val="20"/>
          <w:szCs w:val="20"/>
        </w:rPr>
        <w:t xml:space="preserve">Conforme al art. 19 RCG, el seguimiento y acumulación de montos por periodos de hasta seis meses no incluye la Fracción XI, por lo que el aviso no depende de montos acumulados. No obstante, el profesional da seguimiento a la actividad de cada cliente para (i) mantener actualizado su Perfil Transaccional, (ii) reevaluar su Grado de Riesgo al menos cada seis meses (art. 23 Bis 1) y (iii) verificar al menos una vez al año que su expediente esté completo y actualizado (art. 21).</w:t>
      </w:r>
    </w:p>
    <w:p>
      <w:pPr>
        <w:shd w:fill="1F3864" w:val="clear"/>
        <w:spacing w:after="100" w:before="220"/>
      </w:pPr>
      <w:r>
        <w:rPr>
          <w:rFonts w:ascii="Calibri" w:cs="Calibri" w:eastAsia="Calibri" w:hAnsi="Calibri"/>
          <w:b/>
          <w:bCs/>
          <w:color w:val="FFFFFF"/>
          <w:sz w:val="22"/>
          <w:szCs w:val="22"/>
        </w:rPr>
        <w:t xml:space="preserve">Capítulo 15: Identificación de Personas en Listas de Autoridades</w:t>
      </w:r>
    </w:p>
    <w:p>
      <w:pPr>
        <w:spacing w:after="110"/>
      </w:pPr>
      <w:r>
        <w:rPr>
          <w:rFonts w:ascii="Calibri" w:cs="Calibri" w:eastAsia="Calibri" w:hAnsi="Calibri"/>
          <w:sz w:val="20"/>
          <w:szCs w:val="20"/>
        </w:rPr>
        <w:t xml:space="preserve">El profesional incorpora procedimientos para identificar a las personas incluidas en las listas que emitan autoridades nacionales u organismos internacionales y que dé a conocer la UIF (art. 38 RCG), a fin de evitar el uso de recursos para el financiamiento de organizaciones delictivas u otras actividades ilícitas. Si la persona con quien se preste o se intente prestar el servicio está en esas listas, se presenta Aviso dentro de las 24 horas (art. 27 RCG, en relación con los arts. 26 Bis y 26 Bis 1). La consulta se documenta en el expediente KYC.</w:t>
      </w:r>
    </w:p>
    <w:p>
      <w:pPr>
        <w:keepNext/>
        <w:spacing w:after="90" w:before="150"/>
      </w:pPr>
      <w:r>
        <w:rPr>
          <w:rFonts w:ascii="Calibri" w:cs="Calibri" w:eastAsia="Calibri" w:hAnsi="Calibri"/>
          <w:b/>
          <w:bCs/>
          <w:sz w:val="21"/>
          <w:szCs w:val="21"/>
        </w:rPr>
        <w:t xml:space="preserve">15.1 Procedimiento de consulta de listas (Art. 37 Bis, fr. IX, RCG)</w:t>
      </w:r>
    </w:p>
    <w:p>
      <w:pPr>
        <w:spacing w:after="70"/>
      </w:pPr>
      <w:r>
        <w:rPr>
          <w:rFonts w:ascii="Calibri" w:cs="Calibri" w:eastAsia="Calibri" w:hAnsi="Calibri"/>
          <w:sz w:val="20"/>
          <w:szCs w:val="20"/>
        </w:rPr>
        <w:t xml:space="preserve">• Fuentes: (i) las listas que dé a conocer la UIF conforme al Art. 38 RCG, emitidas por autoridades nacionales u organismos internacionales; (ii) las listas de sanciones del Consejo de Seguridad de la ONU; y (iii) como buena práctica, otras listas internacionales reconocidas (p. ej., OFAC) y noticias negativas en fuentes públicas.</w:t>
      </w:r>
    </w:p>
    <w:p>
      <w:pPr>
        <w:spacing w:after="70"/>
      </w:pPr>
      <w:r>
        <w:rPr>
          <w:rFonts w:ascii="Calibri" w:cs="Calibri" w:eastAsia="Calibri" w:hAnsi="Calibri"/>
          <w:sz w:val="20"/>
          <w:szCs w:val="20"/>
        </w:rPr>
        <w:t xml:space="preserve">• Personas consultadas: el Cliente o Usuaria, su Beneficiario Controlador, sus representantes o apoderados y, en clientes de Riesgo alto, las personas vinculadas recabadas conforme a las medidas reforzadas.</w:t>
      </w:r>
    </w:p>
    <w:p>
      <w:pPr>
        <w:spacing w:after="70"/>
      </w:pPr>
      <w:r>
        <w:rPr>
          <w:rFonts w:ascii="Calibri" w:cs="Calibri" w:eastAsia="Calibri" w:hAnsi="Calibri"/>
          <w:sz w:val="20"/>
          <w:szCs w:val="20"/>
        </w:rPr>
        <w:t xml:space="preserve">• Frecuencia: antes de cada acto u operación y, para la cartera con relación de negocios vigente, cada vez que se actualicen las listas y, en todo caso, en la reevaluación semestral del Grado de Riesgo.</w:t>
      </w:r>
    </w:p>
    <w:p>
      <w:pPr>
        <w:spacing w:after="70"/>
      </w:pPr>
      <w:r>
        <w:rPr>
          <w:rFonts w:ascii="Calibri" w:cs="Calibri" w:eastAsia="Calibri" w:hAnsi="Calibri"/>
          <w:sz w:val="20"/>
          <w:szCs w:val="20"/>
        </w:rPr>
        <w:t xml:space="preserve">• Tratamiento de coincidencias: si la coincidencia es parcial o puede ser un homónimo, se verifica con la fecha de nacimiento, la CURP o el RFC y la nacionalidad. Si se descarta, se documenta como falso positivo. Si se confirma, se abstiene de realizar el acto u operación, presenta el Aviso dentro de las 24 horas (Art. 27 en relación con los Arts. 26 Bis y 26 Bis 1 RCG) y no alerta al cliente (capítulo 16).</w:t>
      </w:r>
    </w:p>
    <w:p>
      <w:pPr>
        <w:spacing w:after="70"/>
      </w:pPr>
      <w:r>
        <w:rPr>
          <w:rFonts w:ascii="Calibri" w:cs="Calibri" w:eastAsia="Calibri" w:hAnsi="Calibri"/>
          <w:sz w:val="20"/>
          <w:szCs w:val="20"/>
        </w:rPr>
        <w:t xml:space="preserve">• Evidencia: constancia de cada consulta con fecha, fuente, persona consultada, resultado y quién la realizó, integrada al expediente.</w:t>
      </w:r>
    </w:p>
    <w:p>
      <w:pPr>
        <w:spacing w:after="70"/>
      </w:pPr>
      <w:r>
        <w:rPr>
          <w:rFonts w:ascii="Calibri" w:cs="Calibri" w:eastAsia="Calibri" w:hAnsi="Calibri"/>
          <w:sz w:val="20"/>
          <w:szCs w:val="20"/>
        </w:rPr>
        <w:t xml:space="preserve">• Verificación de funcionamiento: cada seis meses se prueba la herramienta o el procedimiento con un nombre de control incluido en las listas, para comprobar que lo detecta, y se verifica que las listas utilizadas sean las vigentes; el resultado se documenta (criterio del Programa).</w:t>
      </w:r>
    </w:p>
    <w:p>
      <w:pPr>
        <w:shd w:fill="1F3864" w:val="clear"/>
        <w:spacing w:after="100" w:before="220"/>
      </w:pPr>
      <w:r>
        <w:rPr>
          <w:rFonts w:ascii="Calibri" w:cs="Calibri" w:eastAsia="Calibri" w:hAnsi="Calibri"/>
          <w:b/>
          <w:bCs/>
          <w:color w:val="FFFFFF"/>
          <w:sz w:val="22"/>
          <w:szCs w:val="22"/>
        </w:rPr>
        <w:t xml:space="preserve">Capítulo 16: Confidencialidad</w:t>
      </w:r>
    </w:p>
    <w:p>
      <w:pPr>
        <w:spacing w:after="110"/>
      </w:pPr>
      <w:r>
        <w:rPr>
          <w:rFonts w:ascii="Calibri" w:cs="Calibri" w:eastAsia="Calibri" w:hAnsi="Calibri"/>
          <w:sz w:val="20"/>
          <w:szCs w:val="20"/>
        </w:rPr>
        <w:t xml:space="preserve">El profesional, el Representante de Cumplimiento, los socios, apoderados y el personal mantienen absoluta confidencialidad sobre la información, documentación y operaciones relacionadas con el cumplimiento de la Ley, incluida la relativa al Beneficiario Controlador y a los Avisos presentados, salvo requerimiento de la UIF, el SAT u otras autoridades facultadas (arts. 38 de la Ley y 31 RCG). Queda prohibido alertar al cliente o a terceros sobre cualquier referencia en un Aviso, sobre requerimientos recibidos o sobre órdenes de aseguramiento; revelar sin autorización la vinculación de una persona con un Aviso o requerimiento constituye el delito del art. 63, fr. II, de la Ley (ver también art. 50). La presentación de Avisos no vulnera el secreto profesional ni la confidencialidad (art. 22).</w:t>
      </w:r>
    </w:p>
    <w:p>
      <w:pPr>
        <w:keepNext/>
        <w:spacing w:after="90" w:before="150"/>
      </w:pPr>
      <w:r>
        <w:rPr>
          <w:rFonts w:ascii="Calibri" w:cs="Calibri" w:eastAsia="Calibri" w:hAnsi="Calibri"/>
          <w:b/>
          <w:bCs/>
          <w:sz w:val="21"/>
          <w:szCs w:val="21"/>
        </w:rPr>
        <w:t xml:space="preserve">16.1 Protección de datos personales (Art. 37 Bis, fr. XIII, RCG)</w:t>
      </w:r>
    </w:p>
    <w:p>
      <w:pPr>
        <w:spacing w:after="70"/>
      </w:pPr>
      <w:r>
        <w:rPr>
          <w:rFonts w:ascii="Calibri" w:cs="Calibri" w:eastAsia="Calibri" w:hAnsi="Calibri"/>
          <w:sz w:val="20"/>
          <w:szCs w:val="20"/>
        </w:rPr>
        <w:t xml:space="preserve">• Los datos personales de Clientes o Usuarias, Beneficiarios Controladores, personas vinculadas y personal se tratan conforme a la Ley Federal de Protección de Datos Personales en Posesión de los Particulares (DOF 20/03/2025), con la finalidad de cumplir las obligaciones de la Ley, su Reglamento y las RCG.</w:t>
      </w:r>
    </w:p>
    <w:p>
      <w:pPr>
        <w:spacing w:after="70"/>
      </w:pPr>
      <w:r>
        <w:rPr>
          <w:rFonts w:ascii="Calibri" w:cs="Calibri" w:eastAsia="Calibri" w:hAnsi="Calibri"/>
          <w:sz w:val="20"/>
          <w:szCs w:val="20"/>
        </w:rPr>
        <w:t xml:space="preserve">• El aviso de privacidad informa esa finalidad, la transferencia de datos a la UIF, al SAT y a las autoridades facultadas, y el plazo de conservación de diez años. El tratamiento que deriva de una obligación legal no requiere consentimiento en los términos de esa legislación.</w:t>
      </w:r>
    </w:p>
    <w:p>
      <w:pPr>
        <w:spacing w:after="70"/>
      </w:pPr>
      <w:r>
        <w:rPr>
          <w:rFonts w:ascii="Calibri" w:cs="Calibri" w:eastAsia="Calibri" w:hAnsi="Calibri"/>
          <w:sz w:val="20"/>
          <w:szCs w:val="20"/>
        </w:rPr>
        <w:t xml:space="preserve">• Acceso restringido a expedientes, Avisos y alertas: únicamente las personas autorizadas por el Profesional Titular o, en el despacho, el Representante de Cumplimiento ([PERSONAS AUTORIZADAS]) y el auditor. En sistemas digitales se usan credenciales individuales y bitácora de accesos; el archivo físico se resguarda bajo llave.</w:t>
      </w:r>
    </w:p>
    <w:p>
      <w:pPr>
        <w:spacing w:after="70"/>
      </w:pPr>
      <w:r>
        <w:rPr>
          <w:rFonts w:ascii="Calibri" w:cs="Calibri" w:eastAsia="Calibri" w:hAnsi="Calibri"/>
          <w:sz w:val="20"/>
          <w:szCs w:val="20"/>
        </w:rPr>
        <w:t xml:space="preserve">• Medidas de seguridad administrativas, físicas y técnicas: contraseñas robustas, cifrado o resguardo seguro de respaldos y destrucción segura al vencer los plazos (Documento D10-PROF).</w:t>
      </w:r>
    </w:p>
    <w:p>
      <w:pPr>
        <w:spacing w:after="70"/>
      </w:pPr>
      <w:r>
        <w:rPr>
          <w:rFonts w:ascii="Calibri" w:cs="Calibri" w:eastAsia="Calibri" w:hAnsi="Calibri"/>
          <w:sz w:val="20"/>
          <w:szCs w:val="20"/>
        </w:rPr>
        <w:t xml:space="preserve">• Todo el personal con acceso firma un convenio de confidencialidad que incluye la prohibición de alertar al cliente o a terceros sobre Avisos y requerimientos.</w:t>
      </w:r>
    </w:p>
    <w:p>
      <w:pPr>
        <w:spacing w:after="70"/>
      </w:pPr>
      <w:r>
        <w:rPr>
          <w:rFonts w:ascii="Calibri" w:cs="Calibri" w:eastAsia="Calibri" w:hAnsi="Calibri"/>
          <w:sz w:val="20"/>
          <w:szCs w:val="20"/>
        </w:rPr>
        <w:t xml:space="preserve">• Derechos ARCO: se atienden conforme a la legislación aplicable. La cancelación u oposición no procede respecto de los datos que deban conservarse por disposición legal, y la respuesta nunca revela la existencia de Avisos o requerimientos.</w:t>
      </w:r>
    </w:p>
    <w:p>
      <w:pPr>
        <w:spacing w:after="70"/>
      </w:pPr>
      <w:r>
        <w:rPr>
          <w:rFonts w:ascii="Calibri" w:cs="Calibri" w:eastAsia="Calibri" w:hAnsi="Calibri"/>
          <w:sz w:val="20"/>
          <w:szCs w:val="20"/>
        </w:rPr>
        <w:t xml:space="preserve">• Incidentes: toda vulneración de seguridad se reporta de inmediato al Profesional Titular o, en el despacho, el Representante de Cumplimiento, se documenta y se atiende conforme a la legislación de protección de datos.</w:t>
      </w:r>
    </w:p>
    <w:p>
      <w:pPr>
        <w:shd w:fill="1F3864" w:val="clear"/>
        <w:spacing w:after="100" w:before="220"/>
      </w:pPr>
      <w:r>
        <w:rPr>
          <w:rFonts w:ascii="Calibri" w:cs="Calibri" w:eastAsia="Calibri" w:hAnsi="Calibri"/>
          <w:b/>
          <w:bCs/>
          <w:color w:val="FFFFFF"/>
          <w:sz w:val="22"/>
          <w:szCs w:val="22"/>
        </w:rPr>
        <w:t xml:space="preserve">Capítulo 17: Criterios para Aceptar, Limitar o Terminar la Relación</w:t>
      </w:r>
    </w:p>
    <w:p>
      <w:pPr>
        <w:spacing w:after="110"/>
      </w:pPr>
      <w:r>
        <w:rPr>
          <w:rFonts w:ascii="Calibri" w:cs="Calibri" w:eastAsia="Calibri" w:hAnsi="Calibri"/>
          <w:sz w:val="20"/>
          <w:szCs w:val="20"/>
        </w:rPr>
        <w:t xml:space="preserve">En congruencia con la Metodología EBR (art. 37, tercer párrafo, RCG), el profesional se abstiene de prestar el servicio o de continuarlo cuando: (i) el cliente se niegue a proporcionar la información o documentación necesaria para su identificación (art. 21 de la Ley, sin responsabilidad alguna); (ii) el Grado de Riesgo resultante sea inaceptable conforme al D6-PROF; o (iii) existan señales de alerta que el cliente no pueda aclarar razonablemente. Toda abstención, limitación o terminación se documenta y conserva en el expediente. Se atenderá la suspensión temporal de actos con determinados clientes que, en su caso, determine la Secretaría (art. 54 Bis de la Ley).</w:t>
      </w:r>
    </w:p>
    <w:p>
      <w:pPr>
        <w:shd w:fill="1F3864" w:val="clear"/>
        <w:spacing w:after="100" w:before="220"/>
      </w:pPr>
      <w:r>
        <w:rPr>
          <w:rFonts w:ascii="Calibri" w:cs="Calibri" w:eastAsia="Calibri" w:hAnsi="Calibri"/>
          <w:b/>
          <w:bCs/>
          <w:color w:val="FFFFFF"/>
          <w:sz w:val="22"/>
          <w:szCs w:val="22"/>
        </w:rPr>
        <w:t xml:space="preserve">Capítulo 18: Mecanismos Automatizados</w:t>
      </w:r>
    </w:p>
    <w:p>
      <w:pPr>
        <w:spacing w:after="110"/>
      </w:pPr>
      <w:r>
        <w:rPr>
          <w:rFonts w:ascii="Calibri" w:cs="Calibri" w:eastAsia="Calibri" w:hAnsi="Calibri"/>
          <w:sz w:val="20"/>
          <w:szCs w:val="20"/>
        </w:rPr>
        <w:t xml:space="preserve">Conforme al art. 41 RCG, el profesional cuenta con mecanismos automatizados —razonablemente adecuados a su volumen, naturaleza y Riesgo— que permiten: conservar, actualizar y consultar los expedientes de identificación; agrupar los servicios y operaciones de cada cliente para monitorear los que se aparten de su Perfil Transaccional; proveer la información de la Metodología EBR; ejecutar el modelo de Grado de Riesgo conservando su historial por diez años; operar el sistema de alertas para clientes de riesgo alto, PEP y personas en listas; y monitorear el uso de efectivo del art. 32. Pueden ser hojas de cálculo o bases de datos, siempre que cumplan esas funciones y sean verificables. Deben estar operando a más tardar el 1 de junio de 2027, con información de los servicios realizados a partir de esa fecha (Noveno transitorio del Acuerdo 115/2026).</w:t>
      </w:r>
    </w:p>
    <w:p>
      <w:pPr>
        <w:shd w:fill="1F3864" w:val="clear"/>
        <w:spacing w:after="100" w:before="220"/>
      </w:pPr>
      <w:r>
        <w:rPr>
          <w:rFonts w:ascii="Calibri" w:cs="Calibri" w:eastAsia="Calibri" w:hAnsi="Calibri"/>
          <w:b/>
          <w:bCs/>
          <w:color w:val="FFFFFF"/>
          <w:sz w:val="22"/>
          <w:szCs w:val="22"/>
        </w:rPr>
        <w:t xml:space="preserve">Capítulo 19: Selección y Capacitación del Personal</w:t>
      </w:r>
    </w:p>
    <w:p>
      <w:pPr>
        <w:spacing w:after="110"/>
      </w:pPr>
      <w:r>
        <w:rPr>
          <w:rFonts w:ascii="Calibri" w:cs="Calibri" w:eastAsia="Calibri" w:hAnsi="Calibri"/>
          <w:sz w:val="20"/>
          <w:szCs w:val="20"/>
        </w:rPr>
        <w:t xml:space="preserve">El profesional aplica procedimientos de selección que garanticen que su personal cuente con calidad técnica, experiencia y honorabilidad, y obtiene de cada funcionario o empleado una declaración firmada que incluya, en su caso, los sectores sujetos a la Ley en que haya laborado y que no ha sido sentenciado por delitos patrimoniales ni inhabilitado para ejercer el comercio o para desempeñar un empleo, cargo o comisión en el servicio público o en el sistema financiero (art. 39 Bis 2 RCG; aplica a contrataciones a partir del 1 de marzo de 2027). Las medidas ante la pérdida de calidad técnica u honorabilidad se documentan en el expediente del empleado. Se capacita conforme al Programa del D11-PROF.</w:t>
      </w:r>
    </w:p>
    <w:p>
      <w:pPr>
        <w:spacing w:after="110"/>
      </w:pPr>
      <w:r>
        <w:rPr>
          <w:rFonts w:ascii="Calibri" w:cs="Calibri" w:eastAsia="Calibri" w:hAnsi="Calibri"/>
          <w:sz w:val="20"/>
          <w:szCs w:val="20"/>
        </w:rPr>
        <w:t xml:space="preserve">Si un funcionario o empleado deja de contar con calidad técnica u honorabilidad (por ejemplo, por sentencia por delito patrimonial o inhabilitación), se le retira de inmediato de las funciones de atención al público, identificación de clientes, envío de Avisos o administración de recursos; se documenta el hecho y se resuelve su situación conforme a la legislación laboral (Art. 39 Bis 2, último párrafo, RCG). Cada empleado actualiza su declaración cuando cambie su situación y, en todo caso, una vez al año (criterio del Programa).</w:t>
      </w:r>
    </w:p>
    <w:p>
      <w:pPr>
        <w:shd w:fill="1F3864" w:val="clear"/>
        <w:spacing w:after="100" w:before="220"/>
      </w:pPr>
      <w:r>
        <w:rPr>
          <w:rFonts w:ascii="Calibri" w:cs="Calibri" w:eastAsia="Calibri" w:hAnsi="Calibri"/>
          <w:b/>
          <w:bCs/>
          <w:color w:val="FFFFFF"/>
          <w:sz w:val="22"/>
          <w:szCs w:val="22"/>
        </w:rPr>
        <w:t xml:space="preserve">Capítulo 20: Alcance de la Sujeción y Secreto Profesional</w:t>
      </w:r>
    </w:p>
    <w:p>
      <w:pPr>
        <w:spacing w:after="110"/>
      </w:pPr>
      <w:r>
        <w:rPr>
          <w:rFonts w:ascii="Calibri" w:cs="Calibri" w:eastAsia="Calibri" w:hAnsi="Calibri"/>
          <w:sz w:val="20"/>
          <w:szCs w:val="20"/>
        </w:rPr>
        <w:t xml:space="preserve">El alcance de la sujeción se determina por línea de servicio y por asunto. Lista de líneas de servicio incluidas (incisos a) a e)): [LISTA DE LÍNEAS INCLUIDAS]. Lista de líneas de servicio excluidas: [LISTA DE LÍNEAS EXCLUIDAS]. Secreto profesional y garantía de defensa: el Aviso se cumple con respeto a ambos (art. 17, fr. XI). Criterio del Programa: (i) no se avisa información obtenida en el ejercicio de la defensa de un cliente en un procedimiento; (ii) sí se avisa cuando se llevan a cabo operaciones financieras en representación del cliente, limitando el contenido del Aviso a lo exigido por el art. 24 de la Ley; y (iii) ante la duda, se documenta el análisis y se consulta al asesor legal antes de decidir no avisar (D1-PROF, sección IV).</w:t>
      </w:r>
    </w:p>
    <w:p>
      <w:pPr>
        <w:shd w:fill="1F3864" w:val="clear"/>
        <w:spacing w:after="100" w:before="220"/>
      </w:pPr>
      <w:r>
        <w:rPr>
          <w:rFonts w:ascii="Calibri" w:cs="Calibri" w:eastAsia="Calibri" w:hAnsi="Calibri"/>
          <w:b/>
          <w:bCs/>
          <w:color w:val="FFFFFF"/>
          <w:sz w:val="22"/>
          <w:szCs w:val="22"/>
        </w:rPr>
        <w:t xml:space="preserve">Capítulo 21: Calendario de Entrada en Vigor (Acuerdo 115/2026)</w:t>
      </w:r>
    </w:p>
    <w:p>
      <w:pPr>
        <w:spacing w:after="110"/>
      </w:pPr>
      <w:r>
        <w:rPr>
          <w:rFonts w:ascii="Calibri" w:cs="Calibri" w:eastAsia="Calibri" w:hAnsi="Calibri"/>
          <w:sz w:val="20"/>
          <w:szCs w:val="20"/>
        </w:rPr>
        <w:t xml:space="preserve">El Acuerdo 115/2026 entra en vigor el 30 de noviembre de 2026, con estas excepciones: (i) la evaluación de riesgos y el Manual con su metodología deben estar disponibles ante requerimiento a partir del 1 de marzo de 2027, con información del año inmediato anterior (transitorios Segundo y Tercero); (ii) los capítulos de Grado de Riesgo, conocimiento del cliente y Beneficiario Controlador aplican a los servicios realizados desde el 1 de marzo de 2027 (Cuarto); (iii) el envío de los Avisos por sospecha o indicios podrá realizarse seis meses después de la entrada en vigor de los nuevos formatos oficiales (Quinto); (iv) la selección de personal aplica a nuevas contrataciones desde el 1 de marzo de 2027 (Sexto); (v) el primer periodo de capacitación es el año 2027 (Séptimo); (vi) el primer periodo de auditoría es el año 2028 (Octavo); (vii) los mecanismos automatizados deben operar a más tardar el 1 de junio de 2027 (Noveno); y (viii) la consulta de PEP nacionales a la UIF podrá realizarse nueve meses después de la entrada en vigor (Décimo).</w:t>
      </w:r>
    </w:p>
    <w:p>
      <w:pPr>
        <w:shd w:fill="1F3864" w:val="clear"/>
        <w:spacing w:after="100" w:before="220"/>
      </w:pPr>
      <w:r>
        <w:rPr>
          <w:rFonts w:ascii="Calibri" w:cs="Calibri" w:eastAsia="Calibri" w:hAnsi="Calibri"/>
          <w:b/>
          <w:bCs/>
          <w:color w:val="FFFFFF"/>
          <w:sz w:val="22"/>
          <w:szCs w:val="22"/>
        </w:rPr>
        <w:t xml:space="preserve">Capítulo 22: Sanciones Aplicables</w:t>
      </w:r>
    </w:p>
    <w:p>
      <w:pPr>
        <w:spacing w:after="110"/>
      </w:pPr>
      <w:r>
        <w:rPr>
          <w:rFonts w:ascii="Calibri" w:cs="Calibri" w:eastAsia="Calibri" w:hAnsi="Calibri"/>
          <w:sz w:val="21"/>
          <w:szCs w:val="21"/>
        </w:rPr>
        <w:t xml:space="preserve">Incumplir las obligaciones del artículo 18 (por ejemplo, identificación, Manual, registro) o presentar un Aviso extemporáneamente dentro de los 30 días siguientes al plazo (art. 53, fr. II y III) se sanciona con 200 a 2,000 UMA —de $23,462 a $234,620 con la UMA 2026— (art. 54, fr. I). La omisión de Avisos o la participación en actos prohibidos por el art. 32 (art. 53, fr. VI y VII) se sanciona con 10,000 a 65,000 UMA —de $1,173,100 a $7,625,150— o con el 10% al 100% del valor del acto u operación, la que resulte mayor (art. 54, fr. III). Una extemporaneidad mayor a 30 días se trata como omisión. Actuación espontánea (art. 55): la Secretaría se abstiene de sancionar, por única ocasión, el total de las infracciones si el sujeto cumple de manera espontánea y previa al inicio de las facultades de verificación y reconoce expresamente la falta; después de ejercido ese beneficio, reduce hasta en un 50% las multas de las infracciones que se regularicen en las mismas condiciones.</w:t>
      </w:r>
    </w:p>
    <w:p>
      <w:pPr>
        <w:shd w:fill="1F3864" w:val="clear"/>
        <w:spacing w:after="100" w:before="220"/>
      </w:pPr>
      <w:r>
        <w:rPr>
          <w:rFonts w:ascii="Calibri" w:cs="Calibri" w:eastAsia="Calibri" w:hAnsi="Calibri"/>
          <w:b/>
          <w:bCs/>
          <w:color w:val="FFFFFF"/>
          <w:sz w:val="22"/>
          <w:szCs w:val="22"/>
        </w:rPr>
        <w:t xml:space="preserve">Capítulo 23: Actualización del Manual</w:t>
      </w:r>
    </w:p>
    <w:p>
      <w:pPr>
        <w:spacing w:after="110"/>
      </w:pPr>
      <w:r>
        <w:rPr>
          <w:rFonts w:ascii="Calibri" w:cs="Calibri" w:eastAsia="Calibri" w:hAnsi="Calibri"/>
          <w:sz w:val="21"/>
          <w:szCs w:val="21"/>
        </w:rPr>
        <w:t xml:space="preserve">Este Manual se revisa con periodicidad anual y cada vez que se publique una reforma a la LFPIORPI, su Reglamento o las Reglas de Carácter General aplicables.</w:t>
      </w:r>
    </w:p>
    <w:p>
      <w:pPr>
        <w:keepNext/>
        <w:spacing w:after="90" w:before="150"/>
      </w:pPr>
      <w:r>
        <w:rPr>
          <w:rFonts w:ascii="Calibri" w:cs="Calibri" w:eastAsia="Calibri" w:hAnsi="Calibri"/>
          <w:b/>
          <w:bCs/>
          <w:sz w:val="21"/>
          <w:szCs w:val="21"/>
        </w:rPr>
        <w:t xml:space="preserve">23.1 Responsable, aprobación, versiones y difusión (Art. 37 Bis, fr. XIV, RCG)</w:t>
      </w:r>
    </w:p>
    <w:p>
      <w:pPr>
        <w:spacing w:after="70"/>
      </w:pPr>
      <w:r>
        <w:rPr>
          <w:rFonts w:ascii="Calibri" w:cs="Calibri" w:eastAsia="Calibri" w:hAnsi="Calibri"/>
          <w:sz w:val="20"/>
          <w:szCs w:val="20"/>
        </w:rPr>
        <w:t xml:space="preserve">• Responsable: el Profesional Titular o, en el despacho, el Representante de Cumplimiento propone y redacta las actualizaciones, con el apoyo de Certus Consultores.</w:t>
      </w:r>
    </w:p>
    <w:p>
      <w:pPr>
        <w:spacing w:after="70"/>
      </w:pPr>
      <w:r>
        <w:rPr>
          <w:rFonts w:ascii="Calibri" w:cs="Calibri" w:eastAsia="Calibri" w:hAnsi="Calibri"/>
          <w:sz w:val="20"/>
          <w:szCs w:val="20"/>
        </w:rPr>
        <w:t xml:space="preserve">• Aprobación: el Profesional Titular o el órgano de administración del despacho aprueba cada versión mediante constancia firmada; la versión rige desde su aprobación.</w:t>
      </w:r>
    </w:p>
    <w:p>
      <w:pPr>
        <w:spacing w:after="70"/>
      </w:pPr>
      <w:r>
        <w:rPr>
          <w:rFonts w:ascii="Calibri" w:cs="Calibri" w:eastAsia="Calibri" w:hAnsi="Calibri"/>
          <w:sz w:val="20"/>
          <w:szCs w:val="20"/>
        </w:rPr>
        <w:t xml:space="preserve">• Control de versiones: el Anexo D registra el número de versión, la fecha de aprobación, los cambios y quién aprobó. Las versiones anteriores se conservan durante el plazo de conservación de este Manual.</w:t>
      </w:r>
    </w:p>
    <w:p>
      <w:pPr>
        <w:spacing w:after="70"/>
      </w:pPr>
      <w:r>
        <w:rPr>
          <w:rFonts w:ascii="Calibri" w:cs="Calibri" w:eastAsia="Calibri" w:hAnsi="Calibri"/>
          <w:sz w:val="20"/>
          <w:szCs w:val="20"/>
        </w:rPr>
        <w:t xml:space="preserve">• Difusión: dentro de los diez días hábiles siguientes a la aprobación, la versión vigente se entrega al personal sujeto a capacitación, que firma el acuse de recepción del Anexo D. Su contenido forma parte de la capacitación anual (Art. 39 Bis, fr. I, inciso b), RCG).</w:t>
      </w:r>
    </w:p>
    <w:p>
      <w:pPr>
        <w:spacing w:after="70"/>
      </w:pPr>
      <w:r>
        <w:rPr>
          <w:rFonts w:ascii="Calibri" w:cs="Calibri" w:eastAsia="Calibri" w:hAnsi="Calibri"/>
          <w:sz w:val="20"/>
          <w:szCs w:val="20"/>
        </w:rPr>
        <w:t xml:space="preserve">• Detonantes de actualización: revisión anual; reformas a la Ley, su Reglamento o las RCG; cambios en las actividades u operación (Anexo C); resultados de la metodología de evaluación de Riesgos (Art. 10 Septies 2); hallazgos de supervisión o auditoría; y requerimientos de la autoridad.</w:t>
      </w:r>
    </w:p>
    <w:p>
      <w:pPr>
        <w:spacing w:after="70"/>
      </w:pPr>
      <w:r>
        <w:rPr>
          <w:rFonts w:ascii="Calibri" w:cs="Calibri" w:eastAsia="Calibri" w:hAnsi="Calibri"/>
          <w:sz w:val="20"/>
          <w:szCs w:val="20"/>
        </w:rPr>
        <w:t xml:space="preserve">• Modificaciones ordenadas por el SAT (Art. 37 Bis 3 RCG): el Profesional Titular o, en el despacho, el Representante de Cumplimiento registra el requerimiento, prepara la modificación del Manual o de los documentos señalados dentro del plazo que fije la autoridad, la somete a aprobación, la difunde y conserva la evidencia de su atención.</w:t>
      </w:r>
    </w:p>
    <w:p>
      <w:pPr>
        <w:shd w:fill="1F3864" w:val="clear"/>
        <w:spacing w:after="100" w:before="220"/>
      </w:pPr>
      <w:r>
        <w:rPr>
          <w:rFonts w:ascii="Calibri" w:cs="Calibri" w:eastAsia="Calibri" w:hAnsi="Calibri"/>
          <w:b/>
          <w:bCs/>
          <w:color w:val="FFFFFF"/>
          <w:sz w:val="22"/>
          <w:szCs w:val="22"/>
        </w:rPr>
        <w:t xml:space="preserve">Capítulo 24: Glosario</w:t>
      </w:r>
    </w:p>
    <w:p>
      <w:pPr>
        <w:spacing w:after="70"/>
      </w:pPr>
      <w:r>
        <w:rPr>
          <w:rFonts w:ascii="Calibri" w:cs="Calibri" w:eastAsia="Calibri" w:hAnsi="Calibri"/>
          <w:sz w:val="21"/>
          <w:szCs w:val="21"/>
        </w:rPr>
        <w:t xml:space="preserve">• LFPIORPI: Ley Federal para la Prevención e Identificación de Operaciones con Recursos de Procedencia Ilícita.</w:t>
      </w:r>
    </w:p>
    <w:p>
      <w:pPr>
        <w:spacing w:after="70"/>
      </w:pPr>
      <w:r>
        <w:rPr>
          <w:rFonts w:ascii="Calibri" w:cs="Calibri" w:eastAsia="Calibri" w:hAnsi="Calibri"/>
          <w:sz w:val="21"/>
          <w:szCs w:val="21"/>
        </w:rPr>
        <w:t xml:space="preserve">• UMA: Unidad de Medida y Actualización — $117.31 MXN diarios en 2026.</w:t>
      </w:r>
    </w:p>
    <w:p>
      <w:pPr>
        <w:spacing w:after="70"/>
      </w:pPr>
      <w:r>
        <w:rPr>
          <w:rFonts w:ascii="Calibri" w:cs="Calibri" w:eastAsia="Calibri" w:hAnsi="Calibri"/>
          <w:sz w:val="21"/>
          <w:szCs w:val="21"/>
        </w:rPr>
        <w:t xml:space="preserve">• PLD/FT: Prevención de Lavado de Dinero y Financiamiento al Terrorismo.</w:t>
      </w:r>
    </w:p>
    <w:p>
      <w:pPr>
        <w:spacing w:after="70"/>
      </w:pPr>
      <w:r>
        <w:rPr>
          <w:rFonts w:ascii="Calibri" w:cs="Calibri" w:eastAsia="Calibri" w:hAnsi="Calibri"/>
          <w:sz w:val="21"/>
          <w:szCs w:val="21"/>
        </w:rPr>
        <w:t xml:space="preserve">• Beneficiario Controlador: persona física que en última instancia obtiene el beneficio o ejerce el control efectivo.</w:t>
      </w:r>
    </w:p>
    <w:p>
      <w:pPr>
        <w:spacing w:after="70"/>
      </w:pPr>
      <w:r>
        <w:rPr>
          <w:rFonts w:ascii="Calibri" w:cs="Calibri" w:eastAsia="Calibri" w:hAnsi="Calibri"/>
          <w:sz w:val="21"/>
          <w:szCs w:val="21"/>
        </w:rPr>
        <w:t xml:space="preserve">• SPPLD: Sistema/Portal de Prevención de Lavado de Dinero del SAT.</w:t>
      </w:r>
    </w:p>
    <w:p>
      <w:pPr>
        <w:spacing w:after="70"/>
      </w:pPr>
      <w:r>
        <w:rPr>
          <w:rFonts w:ascii="Calibri" w:cs="Calibri" w:eastAsia="Calibri" w:hAnsi="Calibri"/>
          <w:sz w:val="21"/>
          <w:szCs w:val="21"/>
        </w:rPr>
        <w:t xml:space="preserve">• Momento de sujeción: distinción propia de la Fracción XI entre preparación (identificación) y representación (aviso).</w:t>
      </w:r>
    </w:p>
    <w:p>
      <w:pPr>
        <w:spacing w:after="60"/>
      </w:pPr>
      <w:r>
        <w:rPr>
          <w:rFonts w:ascii="Calibri" w:cs="Calibri" w:eastAsia="Calibri" w:hAnsi="Calibri"/>
          <w:sz w:val="21"/>
          <w:szCs w:val="21"/>
        </w:rPr>
        <w:t xml:space="preserve"/>
      </w:r>
    </w:p>
    <w:p>
      <w:pPr>
        <w:keepNext/>
        <w:pageBreakBefore/>
        <w:shd w:fill="1F3864" w:val="clear"/>
        <w:spacing w:after="100" w:before="220"/>
      </w:pPr>
      <w:r>
        <w:rPr>
          <w:rFonts w:ascii="Calibri" w:cs="Calibri" w:eastAsia="Calibri" w:hAnsi="Calibri"/>
          <w:b/>
          <w:bCs/>
          <w:color w:val="FFFFFF"/>
          <w:sz w:val="22"/>
          <w:szCs w:val="22"/>
        </w:rPr>
        <w:t xml:space="preserve">Anexo A. Correspondencia con el contenido mínimo del Manual (Arts. 37 y 37 Bis RCG)</w:t>
      </w:r>
    </w:p>
    <w:tbl>
      <w:tblPr>
        <w:tblW w:type="dxa" w:w="9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3900"/>
        <w:gridCol w:w="2200"/>
        <w:gridCol w:w="2500"/>
      </w:tblGrid>
      <w:tr>
        <w:trPr>
          <w:tblHeader/>
        </w:trPr>
        <w:tc>
          <w:tcPr>
            <w:tcW w:type="dxa" w:w="900"/>
            <w:shd w:fill="1F3864"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Fracc.</w:t>
            </w:r>
          </w:p>
        </w:tc>
        <w:tc>
          <w:tcPr>
            <w:tcW w:type="dxa" w:w="3900"/>
            <w:shd w:fill="1F3864"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Contenido mínimo</w:t>
            </w:r>
          </w:p>
        </w:tc>
        <w:tc>
          <w:tcPr>
            <w:tcW w:type="dxa" w:w="2200"/>
            <w:shd w:fill="1F3864"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Capítulo de este Manual</w:t>
            </w:r>
          </w:p>
        </w:tc>
        <w:tc>
          <w:tcPr>
            <w:tcW w:type="dxa" w:w="2500"/>
            <w:shd w:fill="1F3864"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Documento del Programa</w:t>
            </w:r>
          </w:p>
        </w:tc>
      </w:tr>
      <w:tr>
        <w:trPr>
          <w:cantSplit/>
        </w:trPr>
        <w:tc>
          <w:tcPr>
            <w:tcW w:type="dxa" w:w="900"/>
            <w:tcMar>
              <w:top w:type="dxa" w:w="60"/>
              <w:left w:type="dxa" w:w="100"/>
              <w:bottom w:type="dxa" w:w="60"/>
              <w:right w:type="dxa" w:w="100"/>
            </w:tcMar>
          </w:tcPr>
          <w:p>
            <w:pPr>
              <w:spacing w:after="0"/>
            </w:pPr>
            <w:r>
              <w:rPr>
                <w:rFonts w:ascii="Calibri" w:cs="Calibri" w:eastAsia="Calibri" w:hAnsi="Calibri"/>
                <w:sz w:val="18"/>
                <w:szCs w:val="18"/>
              </w:rPr>
              <w:t xml:space="preserve">I</w:t>
            </w:r>
          </w:p>
        </w:tc>
        <w:tc>
          <w:tcPr>
            <w:tcW w:type="dxa" w:w="3900"/>
            <w:tcMar>
              <w:top w:type="dxa" w:w="60"/>
              <w:left w:type="dxa" w:w="100"/>
              <w:bottom w:type="dxa" w:w="60"/>
              <w:right w:type="dxa" w:w="100"/>
            </w:tcMar>
          </w:tcPr>
          <w:p>
            <w:pPr>
              <w:spacing w:after="0"/>
            </w:pPr>
            <w:r>
              <w:rPr>
                <w:rFonts w:ascii="Calibri" w:cs="Calibri" w:eastAsia="Calibri" w:hAnsi="Calibri"/>
                <w:sz w:val="18"/>
                <w:szCs w:val="18"/>
              </w:rPr>
              <w:t xml:space="preserve">Identificación y conocimiento de Clientes o Usuarias, incluido el Beneficiario Controlador</w:t>
            </w:r>
          </w:p>
        </w:tc>
        <w:tc>
          <w:tcPr>
            <w:tcW w:type="dxa" w:w="2200"/>
            <w:tcMar>
              <w:top w:type="dxa" w:w="60"/>
              <w:left w:type="dxa" w:w="100"/>
              <w:bottom w:type="dxa" w:w="60"/>
              <w:right w:type="dxa" w:w="100"/>
            </w:tcMar>
          </w:tcPr>
          <w:p>
            <w:pPr>
              <w:spacing w:after="0"/>
            </w:pPr>
            <w:r>
              <w:rPr>
                <w:rFonts w:ascii="Calibri" w:cs="Calibri" w:eastAsia="Calibri" w:hAnsi="Calibri"/>
                <w:sz w:val="18"/>
                <w:szCs w:val="18"/>
              </w:rPr>
              <w:t xml:space="preserve">Caps. 4, 4.2 y 6</w:t>
            </w:r>
          </w:p>
        </w:tc>
        <w:tc>
          <w:tcPr>
            <w:tcW w:type="dxa" w:w="2500"/>
            <w:tcMar>
              <w:top w:type="dxa" w:w="60"/>
              <w:left w:type="dxa" w:w="100"/>
              <w:bottom w:type="dxa" w:w="60"/>
              <w:right w:type="dxa" w:w="100"/>
            </w:tcMar>
          </w:tcPr>
          <w:p>
            <w:pPr>
              <w:spacing w:after="0"/>
            </w:pPr>
            <w:r>
              <w:rPr>
                <w:rFonts w:ascii="Calibri" w:cs="Calibri" w:eastAsia="Calibri" w:hAnsi="Calibri"/>
                <w:sz w:val="18"/>
                <w:szCs w:val="18"/>
              </w:rPr>
              <w:t xml:space="preserve">D7-PROF</w:t>
            </w:r>
          </w:p>
        </w:tc>
      </w:tr>
      <w:tr>
        <w:trPr>
          <w:cantSplit/>
        </w:trPr>
        <w:tc>
          <w:tcPr>
            <w:tcW w:type="dxa" w:w="900"/>
            <w:tcMar>
              <w:top w:type="dxa" w:w="60"/>
              <w:left w:type="dxa" w:w="100"/>
              <w:bottom w:type="dxa" w:w="60"/>
              <w:right w:type="dxa" w:w="100"/>
            </w:tcMar>
          </w:tcPr>
          <w:p>
            <w:pPr>
              <w:spacing w:after="0"/>
            </w:pPr>
            <w:r>
              <w:rPr>
                <w:rFonts w:ascii="Calibri" w:cs="Calibri" w:eastAsia="Calibri" w:hAnsi="Calibri"/>
                <w:sz w:val="18"/>
                <w:szCs w:val="18"/>
              </w:rPr>
              <w:t xml:space="preserve">II</w:t>
            </w:r>
          </w:p>
        </w:tc>
        <w:tc>
          <w:tcPr>
            <w:tcW w:type="dxa" w:w="3900"/>
            <w:tcMar>
              <w:top w:type="dxa" w:w="60"/>
              <w:left w:type="dxa" w:w="100"/>
              <w:bottom w:type="dxa" w:w="60"/>
              <w:right w:type="dxa" w:w="100"/>
            </w:tcMar>
          </w:tcPr>
          <w:p>
            <w:pPr>
              <w:spacing w:after="0"/>
            </w:pPr>
            <w:r>
              <w:rPr>
                <w:rFonts w:ascii="Calibri" w:cs="Calibri" w:eastAsia="Calibri" w:hAnsi="Calibri"/>
                <w:sz w:val="18"/>
                <w:szCs w:val="18"/>
              </w:rPr>
              <w:t xml:space="preserve">Mecanismos de clasificación de Riesgo</w:t>
            </w:r>
          </w:p>
        </w:tc>
        <w:tc>
          <w:tcPr>
            <w:tcW w:type="dxa" w:w="2200"/>
            <w:tcMar>
              <w:top w:type="dxa" w:w="60"/>
              <w:left w:type="dxa" w:w="100"/>
              <w:bottom w:type="dxa" w:w="60"/>
              <w:right w:type="dxa" w:w="100"/>
            </w:tcMar>
          </w:tcPr>
          <w:p>
            <w:pPr>
              <w:spacing w:after="0"/>
            </w:pPr>
            <w:r>
              <w:rPr>
                <w:rFonts w:ascii="Calibri" w:cs="Calibri" w:eastAsia="Calibri" w:hAnsi="Calibri"/>
                <w:sz w:val="18"/>
                <w:szCs w:val="18"/>
              </w:rPr>
              <w:t xml:space="preserve">Caps. 5 y 5.1</w:t>
            </w:r>
          </w:p>
        </w:tc>
        <w:tc>
          <w:tcPr>
            <w:tcW w:type="dxa" w:w="2500"/>
            <w:tcMar>
              <w:top w:type="dxa" w:w="60"/>
              <w:left w:type="dxa" w:w="100"/>
              <w:bottom w:type="dxa" w:w="60"/>
              <w:right w:type="dxa" w:w="100"/>
            </w:tcMar>
          </w:tcPr>
          <w:p>
            <w:pPr>
              <w:spacing w:after="0"/>
            </w:pPr>
            <w:r>
              <w:rPr>
                <w:rFonts w:ascii="Calibri" w:cs="Calibri" w:eastAsia="Calibri" w:hAnsi="Calibri"/>
                <w:sz w:val="18"/>
                <w:szCs w:val="18"/>
              </w:rPr>
              <w:t xml:space="preserve">D6-PROF</w:t>
            </w:r>
          </w:p>
        </w:tc>
      </w:tr>
      <w:tr>
        <w:trPr>
          <w:cantSplit/>
        </w:trPr>
        <w:tc>
          <w:tcPr>
            <w:tcW w:type="dxa" w:w="900"/>
            <w:tcMar>
              <w:top w:type="dxa" w:w="60"/>
              <w:left w:type="dxa" w:w="100"/>
              <w:bottom w:type="dxa" w:w="60"/>
              <w:right w:type="dxa" w:w="100"/>
            </w:tcMar>
          </w:tcPr>
          <w:p>
            <w:pPr>
              <w:spacing w:after="0"/>
            </w:pPr>
            <w:r>
              <w:rPr>
                <w:rFonts w:ascii="Calibri" w:cs="Calibri" w:eastAsia="Calibri" w:hAnsi="Calibri"/>
                <w:sz w:val="18"/>
                <w:szCs w:val="18"/>
              </w:rPr>
              <w:t xml:space="preserve">III</w:t>
            </w:r>
          </w:p>
        </w:tc>
        <w:tc>
          <w:tcPr>
            <w:tcW w:type="dxa" w:w="3900"/>
            <w:tcMar>
              <w:top w:type="dxa" w:w="60"/>
              <w:left w:type="dxa" w:w="100"/>
              <w:bottom w:type="dxa" w:w="60"/>
              <w:right w:type="dxa" w:w="100"/>
            </w:tcMar>
          </w:tcPr>
          <w:p>
            <w:pPr>
              <w:spacing w:after="0"/>
            </w:pPr>
            <w:r>
              <w:rPr>
                <w:rFonts w:ascii="Calibri" w:cs="Calibri" w:eastAsia="Calibri" w:hAnsi="Calibri"/>
                <w:sz w:val="18"/>
                <w:szCs w:val="18"/>
              </w:rPr>
              <w:t xml:space="preserve">Debida diligencia según el Grado de Riesgo</w:t>
            </w:r>
          </w:p>
        </w:tc>
        <w:tc>
          <w:tcPr>
            <w:tcW w:type="dxa" w:w="2200"/>
            <w:tcMar>
              <w:top w:type="dxa" w:w="60"/>
              <w:left w:type="dxa" w:w="100"/>
              <w:bottom w:type="dxa" w:w="60"/>
              <w:right w:type="dxa" w:w="100"/>
            </w:tcMar>
          </w:tcPr>
          <w:p>
            <w:pPr>
              <w:spacing w:after="0"/>
            </w:pPr>
            <w:r>
              <w:rPr>
                <w:rFonts w:ascii="Calibri" w:cs="Calibri" w:eastAsia="Calibri" w:hAnsi="Calibri"/>
                <w:sz w:val="18"/>
                <w:szCs w:val="18"/>
              </w:rPr>
              <w:t xml:space="preserve">Caps. 5, 5.2 a 5.4; Anexo B</w:t>
            </w:r>
          </w:p>
        </w:tc>
        <w:tc>
          <w:tcPr>
            <w:tcW w:type="dxa" w:w="2500"/>
            <w:tcMar>
              <w:top w:type="dxa" w:w="60"/>
              <w:left w:type="dxa" w:w="100"/>
              <w:bottom w:type="dxa" w:w="60"/>
              <w:right w:type="dxa" w:w="100"/>
            </w:tcMar>
          </w:tcPr>
          <w:p>
            <w:pPr>
              <w:spacing w:after="0"/>
            </w:pPr>
            <w:r>
              <w:rPr>
                <w:rFonts w:ascii="Calibri" w:cs="Calibri" w:eastAsia="Calibri" w:hAnsi="Calibri"/>
                <w:sz w:val="18"/>
                <w:szCs w:val="18"/>
              </w:rPr>
              <w:t xml:space="preserve">D6-PROF, D7-PROF</w:t>
            </w:r>
          </w:p>
        </w:tc>
      </w:tr>
      <w:tr>
        <w:trPr>
          <w:cantSplit/>
        </w:trPr>
        <w:tc>
          <w:tcPr>
            <w:tcW w:type="dxa" w:w="900"/>
            <w:tcMar>
              <w:top w:type="dxa" w:w="60"/>
              <w:left w:type="dxa" w:w="100"/>
              <w:bottom w:type="dxa" w:w="60"/>
              <w:right w:type="dxa" w:w="100"/>
            </w:tcMar>
          </w:tcPr>
          <w:p>
            <w:pPr>
              <w:spacing w:after="0"/>
            </w:pPr>
            <w:r>
              <w:rPr>
                <w:rFonts w:ascii="Calibri" w:cs="Calibri" w:eastAsia="Calibri" w:hAnsi="Calibri"/>
                <w:sz w:val="18"/>
                <w:szCs w:val="18"/>
              </w:rPr>
              <w:t xml:space="preserve">IV</w:t>
            </w:r>
          </w:p>
        </w:tc>
        <w:tc>
          <w:tcPr>
            <w:tcW w:type="dxa" w:w="3900"/>
            <w:tcMar>
              <w:top w:type="dxa" w:w="60"/>
              <w:left w:type="dxa" w:w="100"/>
              <w:bottom w:type="dxa" w:w="60"/>
              <w:right w:type="dxa" w:w="100"/>
            </w:tcMar>
          </w:tcPr>
          <w:p>
            <w:pPr>
              <w:spacing w:after="0"/>
            </w:pPr>
            <w:r>
              <w:rPr>
                <w:rFonts w:ascii="Calibri" w:cs="Calibri" w:eastAsia="Calibri" w:hAnsi="Calibri"/>
                <w:sz w:val="18"/>
                <w:szCs w:val="18"/>
              </w:rPr>
              <w:t xml:space="preserve">Identificación y seguimiento reforzado de PEP</w:t>
            </w:r>
          </w:p>
        </w:tc>
        <w:tc>
          <w:tcPr>
            <w:tcW w:type="dxa" w:w="2200"/>
            <w:tcMar>
              <w:top w:type="dxa" w:w="60"/>
              <w:left w:type="dxa" w:w="100"/>
              <w:bottom w:type="dxa" w:w="60"/>
              <w:right w:type="dxa" w:w="100"/>
            </w:tcMar>
          </w:tcPr>
          <w:p>
            <w:pPr>
              <w:spacing w:after="0"/>
            </w:pPr>
            <w:r>
              <w:rPr>
                <w:rFonts w:ascii="Calibri" w:cs="Calibri" w:eastAsia="Calibri" w:hAnsi="Calibri"/>
                <w:sz w:val="18"/>
                <w:szCs w:val="18"/>
              </w:rPr>
              <w:t xml:space="preserve">Caps. 6 y 6.1</w:t>
            </w:r>
          </w:p>
        </w:tc>
        <w:tc>
          <w:tcPr>
            <w:tcW w:type="dxa" w:w="2500"/>
            <w:tcMar>
              <w:top w:type="dxa" w:w="60"/>
              <w:left w:type="dxa" w:w="100"/>
              <w:bottom w:type="dxa" w:w="60"/>
              <w:right w:type="dxa" w:w="100"/>
            </w:tcMar>
          </w:tcPr>
          <w:p>
            <w:pPr>
              <w:spacing w:after="0"/>
            </w:pPr>
            <w:r>
              <w:rPr>
                <w:rFonts w:ascii="Calibri" w:cs="Calibri" w:eastAsia="Calibri" w:hAnsi="Calibri"/>
                <w:sz w:val="18"/>
                <w:szCs w:val="18"/>
              </w:rPr>
              <w:t xml:space="preserve">D8-PROF</w:t>
            </w:r>
          </w:p>
        </w:tc>
      </w:tr>
      <w:tr>
        <w:trPr>
          <w:cantSplit/>
        </w:trPr>
        <w:tc>
          <w:tcPr>
            <w:tcW w:type="dxa" w:w="900"/>
            <w:tcMar>
              <w:top w:type="dxa" w:w="60"/>
              <w:left w:type="dxa" w:w="100"/>
              <w:bottom w:type="dxa" w:w="60"/>
              <w:right w:type="dxa" w:w="100"/>
            </w:tcMar>
          </w:tcPr>
          <w:p>
            <w:pPr>
              <w:spacing w:after="0"/>
            </w:pPr>
            <w:r>
              <w:rPr>
                <w:rFonts w:ascii="Calibri" w:cs="Calibri" w:eastAsia="Calibri" w:hAnsi="Calibri"/>
                <w:sz w:val="18"/>
                <w:szCs w:val="18"/>
              </w:rPr>
              <w:t xml:space="preserve">V</w:t>
            </w:r>
          </w:p>
        </w:tc>
        <w:tc>
          <w:tcPr>
            <w:tcW w:type="dxa" w:w="3900"/>
            <w:tcMar>
              <w:top w:type="dxa" w:w="60"/>
              <w:left w:type="dxa" w:w="100"/>
              <w:bottom w:type="dxa" w:w="60"/>
              <w:right w:type="dxa" w:w="100"/>
            </w:tcMar>
          </w:tcPr>
          <w:p>
            <w:pPr>
              <w:spacing w:after="0"/>
            </w:pPr>
            <w:r>
              <w:rPr>
                <w:rFonts w:ascii="Calibri" w:cs="Calibri" w:eastAsia="Calibri" w:hAnsi="Calibri"/>
                <w:sz w:val="18"/>
                <w:szCs w:val="18"/>
              </w:rPr>
              <w:t xml:space="preserve">Detección de desviaciones del Perfil Transaccional</w:t>
            </w:r>
          </w:p>
        </w:tc>
        <w:tc>
          <w:tcPr>
            <w:tcW w:type="dxa" w:w="2200"/>
            <w:tcMar>
              <w:top w:type="dxa" w:w="60"/>
              <w:left w:type="dxa" w:w="100"/>
              <w:bottom w:type="dxa" w:w="60"/>
              <w:right w:type="dxa" w:w="100"/>
            </w:tcMar>
          </w:tcPr>
          <w:p>
            <w:pPr>
              <w:spacing w:after="0"/>
            </w:pPr>
            <w:r>
              <w:rPr>
                <w:rFonts w:ascii="Calibri" w:cs="Calibri" w:eastAsia="Calibri" w:hAnsi="Calibri"/>
                <w:sz w:val="18"/>
                <w:szCs w:val="18"/>
              </w:rPr>
              <w:t xml:space="preserve">Caps. 13, 13.1 y 13.2</w:t>
            </w:r>
          </w:p>
        </w:tc>
        <w:tc>
          <w:tcPr>
            <w:tcW w:type="dxa" w:w="2500"/>
            <w:tcMar>
              <w:top w:type="dxa" w:w="60"/>
              <w:left w:type="dxa" w:w="100"/>
              <w:bottom w:type="dxa" w:w="60"/>
              <w:right w:type="dxa" w:w="100"/>
            </w:tcMar>
          </w:tcPr>
          <w:p>
            <w:pPr>
              <w:spacing w:after="0"/>
            </w:pPr>
            <w:r>
              <w:rPr>
                <w:rFonts w:ascii="Calibri" w:cs="Calibri" w:eastAsia="Calibri" w:hAnsi="Calibri"/>
                <w:sz w:val="18"/>
                <w:szCs w:val="18"/>
              </w:rPr>
              <w:t xml:space="preserve">D9-PROF</w:t>
            </w:r>
          </w:p>
        </w:tc>
      </w:tr>
      <w:tr>
        <w:trPr>
          <w:cantSplit/>
        </w:trPr>
        <w:tc>
          <w:tcPr>
            <w:tcW w:type="dxa" w:w="900"/>
            <w:tcMar>
              <w:top w:type="dxa" w:w="60"/>
              <w:left w:type="dxa" w:w="100"/>
              <w:bottom w:type="dxa" w:w="60"/>
              <w:right w:type="dxa" w:w="100"/>
            </w:tcMar>
          </w:tcPr>
          <w:p>
            <w:pPr>
              <w:spacing w:after="0"/>
            </w:pPr>
            <w:r>
              <w:rPr>
                <w:rFonts w:ascii="Calibri" w:cs="Calibri" w:eastAsia="Calibri" w:hAnsi="Calibri"/>
                <w:sz w:val="18"/>
                <w:szCs w:val="18"/>
              </w:rPr>
              <w:t xml:space="preserve">VI</w:t>
            </w:r>
          </w:p>
        </w:tc>
        <w:tc>
          <w:tcPr>
            <w:tcW w:type="dxa" w:w="3900"/>
            <w:tcMar>
              <w:top w:type="dxa" w:w="60"/>
              <w:left w:type="dxa" w:w="100"/>
              <w:bottom w:type="dxa" w:w="60"/>
              <w:right w:type="dxa" w:w="100"/>
            </w:tcMar>
          </w:tcPr>
          <w:p>
            <w:pPr>
              <w:spacing w:after="0"/>
            </w:pPr>
            <w:r>
              <w:rPr>
                <w:rFonts w:ascii="Calibri" w:cs="Calibri" w:eastAsia="Calibri" w:hAnsi="Calibri"/>
                <w:sz w:val="18"/>
                <w:szCs w:val="18"/>
              </w:rPr>
              <w:t xml:space="preserve">Presentación de Avisos e Informes</w:t>
            </w:r>
          </w:p>
        </w:tc>
        <w:tc>
          <w:tcPr>
            <w:tcW w:type="dxa" w:w="2200"/>
            <w:tcMar>
              <w:top w:type="dxa" w:w="60"/>
              <w:left w:type="dxa" w:w="100"/>
              <w:bottom w:type="dxa" w:w="60"/>
              <w:right w:type="dxa" w:w="100"/>
            </w:tcMar>
          </w:tcPr>
          <w:p>
            <w:pPr>
              <w:spacing w:after="0"/>
            </w:pPr>
            <w:r>
              <w:rPr>
                <w:rFonts w:ascii="Calibri" w:cs="Calibri" w:eastAsia="Calibri" w:hAnsi="Calibri"/>
                <w:sz w:val="18"/>
                <w:szCs w:val="18"/>
              </w:rPr>
              <w:t xml:space="preserve">Caps. 7, 9 y 9.1</w:t>
            </w:r>
          </w:p>
        </w:tc>
        <w:tc>
          <w:tcPr>
            <w:tcW w:type="dxa" w:w="2500"/>
            <w:tcMar>
              <w:top w:type="dxa" w:w="60"/>
              <w:left w:type="dxa" w:w="100"/>
              <w:bottom w:type="dxa" w:w="60"/>
              <w:right w:type="dxa" w:w="100"/>
            </w:tcMar>
          </w:tcPr>
          <w:p>
            <w:pPr>
              <w:spacing w:after="0"/>
            </w:pPr>
            <w:r>
              <w:rPr>
                <w:rFonts w:ascii="Calibri" w:cs="Calibri" w:eastAsia="Calibri" w:hAnsi="Calibri"/>
                <w:sz w:val="18"/>
                <w:szCs w:val="18"/>
              </w:rPr>
              <w:t xml:space="preserve">D9-PROF, D12-PROF</w:t>
            </w:r>
          </w:p>
        </w:tc>
      </w:tr>
      <w:tr>
        <w:trPr>
          <w:cantSplit/>
        </w:trPr>
        <w:tc>
          <w:tcPr>
            <w:tcW w:type="dxa" w:w="900"/>
            <w:tcMar>
              <w:top w:type="dxa" w:w="60"/>
              <w:left w:type="dxa" w:w="100"/>
              <w:bottom w:type="dxa" w:w="60"/>
              <w:right w:type="dxa" w:w="100"/>
            </w:tcMar>
          </w:tcPr>
          <w:p>
            <w:pPr>
              <w:spacing w:after="0"/>
            </w:pPr>
            <w:r>
              <w:rPr>
                <w:rFonts w:ascii="Calibri" w:cs="Calibri" w:eastAsia="Calibri" w:hAnsi="Calibri"/>
                <w:sz w:val="18"/>
                <w:szCs w:val="18"/>
              </w:rPr>
              <w:t xml:space="preserve">VII</w:t>
            </w:r>
          </w:p>
        </w:tc>
        <w:tc>
          <w:tcPr>
            <w:tcW w:type="dxa" w:w="3900"/>
            <w:tcMar>
              <w:top w:type="dxa" w:w="60"/>
              <w:left w:type="dxa" w:w="100"/>
              <w:bottom w:type="dxa" w:w="60"/>
              <w:right w:type="dxa" w:w="100"/>
            </w:tcMar>
          </w:tcPr>
          <w:p>
            <w:pPr>
              <w:spacing w:after="0"/>
            </w:pPr>
            <w:r>
              <w:rPr>
                <w:rFonts w:ascii="Calibri" w:cs="Calibri" w:eastAsia="Calibri" w:hAnsi="Calibri"/>
                <w:sz w:val="18"/>
                <w:szCs w:val="18"/>
              </w:rPr>
              <w:t xml:space="preserve">Conservación de información y documentación</w:t>
            </w:r>
          </w:p>
        </w:tc>
        <w:tc>
          <w:tcPr>
            <w:tcW w:type="dxa" w:w="2200"/>
            <w:tcMar>
              <w:top w:type="dxa" w:w="60"/>
              <w:left w:type="dxa" w:w="100"/>
              <w:bottom w:type="dxa" w:w="60"/>
              <w:right w:type="dxa" w:w="100"/>
            </w:tcMar>
          </w:tcPr>
          <w:p>
            <w:pPr>
              <w:spacing w:after="0"/>
            </w:pPr>
            <w:r>
              <w:rPr>
                <w:rFonts w:ascii="Calibri" w:cs="Calibri" w:eastAsia="Calibri" w:hAnsi="Calibri"/>
                <w:sz w:val="18"/>
                <w:szCs w:val="18"/>
              </w:rPr>
              <w:t xml:space="preserve">Caps. 10 y 10.1</w:t>
            </w:r>
          </w:p>
        </w:tc>
        <w:tc>
          <w:tcPr>
            <w:tcW w:type="dxa" w:w="2500"/>
            <w:tcMar>
              <w:top w:type="dxa" w:w="60"/>
              <w:left w:type="dxa" w:w="100"/>
              <w:bottom w:type="dxa" w:w="60"/>
              <w:right w:type="dxa" w:w="100"/>
            </w:tcMar>
          </w:tcPr>
          <w:p>
            <w:pPr>
              <w:spacing w:after="0"/>
            </w:pPr>
            <w:r>
              <w:rPr>
                <w:rFonts w:ascii="Calibri" w:cs="Calibri" w:eastAsia="Calibri" w:hAnsi="Calibri"/>
                <w:sz w:val="18"/>
                <w:szCs w:val="18"/>
              </w:rPr>
              <w:t xml:space="preserve">D10-PROF</w:t>
            </w:r>
          </w:p>
        </w:tc>
      </w:tr>
      <w:tr>
        <w:trPr>
          <w:cantSplit/>
        </w:trPr>
        <w:tc>
          <w:tcPr>
            <w:tcW w:type="dxa" w:w="900"/>
            <w:tcMar>
              <w:top w:type="dxa" w:w="60"/>
              <w:left w:type="dxa" w:w="100"/>
              <w:bottom w:type="dxa" w:w="60"/>
              <w:right w:type="dxa" w:w="100"/>
            </w:tcMar>
          </w:tcPr>
          <w:p>
            <w:pPr>
              <w:spacing w:after="0"/>
            </w:pPr>
            <w:r>
              <w:rPr>
                <w:rFonts w:ascii="Calibri" w:cs="Calibri" w:eastAsia="Calibri" w:hAnsi="Calibri"/>
                <w:sz w:val="18"/>
                <w:szCs w:val="18"/>
              </w:rPr>
              <w:t xml:space="preserve">VIII</w:t>
            </w:r>
          </w:p>
        </w:tc>
        <w:tc>
          <w:tcPr>
            <w:tcW w:type="dxa" w:w="3900"/>
            <w:tcMar>
              <w:top w:type="dxa" w:w="60"/>
              <w:left w:type="dxa" w:w="100"/>
              <w:bottom w:type="dxa" w:w="60"/>
              <w:right w:type="dxa" w:w="100"/>
            </w:tcMar>
          </w:tcPr>
          <w:p>
            <w:pPr>
              <w:spacing w:after="0"/>
            </w:pPr>
            <w:r>
              <w:rPr>
                <w:rFonts w:ascii="Calibri" w:cs="Calibri" w:eastAsia="Calibri" w:hAnsi="Calibri"/>
                <w:sz w:val="18"/>
                <w:szCs w:val="18"/>
              </w:rPr>
              <w:t xml:space="preserve">Seguimiento (la Fracción XI no acumula montos, Art. 19 RCG)</w:t>
            </w:r>
          </w:p>
        </w:tc>
        <w:tc>
          <w:tcPr>
            <w:tcW w:type="dxa" w:w="2200"/>
            <w:tcMar>
              <w:top w:type="dxa" w:w="60"/>
              <w:left w:type="dxa" w:w="100"/>
              <w:bottom w:type="dxa" w:w="60"/>
              <w:right w:type="dxa" w:w="100"/>
            </w:tcMar>
          </w:tcPr>
          <w:p>
            <w:pPr>
              <w:spacing w:after="0"/>
            </w:pPr>
            <w:r>
              <w:rPr>
                <w:rFonts w:ascii="Calibri" w:cs="Calibri" w:eastAsia="Calibri" w:hAnsi="Calibri"/>
                <w:sz w:val="18"/>
                <w:szCs w:val="18"/>
              </w:rPr>
              <w:t xml:space="preserve">Cap. 14</w:t>
            </w:r>
          </w:p>
        </w:tc>
        <w:tc>
          <w:tcPr>
            <w:tcW w:type="dxa" w:w="2500"/>
            <w:tcMar>
              <w:top w:type="dxa" w:w="60"/>
              <w:left w:type="dxa" w:w="100"/>
              <w:bottom w:type="dxa" w:w="60"/>
              <w:right w:type="dxa" w:w="100"/>
            </w:tcMar>
          </w:tcPr>
          <w:p>
            <w:pPr>
              <w:spacing w:after="0"/>
            </w:pPr>
            <w:r>
              <w:rPr>
                <w:rFonts w:ascii="Calibri" w:cs="Calibri" w:eastAsia="Calibri" w:hAnsi="Calibri"/>
                <w:sz w:val="18"/>
                <w:szCs w:val="18"/>
              </w:rPr>
              <w:t xml:space="preserve">D12-PROF</w:t>
            </w:r>
          </w:p>
        </w:tc>
      </w:tr>
      <w:tr>
        <w:trPr>
          <w:cantSplit/>
        </w:trPr>
        <w:tc>
          <w:tcPr>
            <w:tcW w:type="dxa" w:w="900"/>
            <w:tcMar>
              <w:top w:type="dxa" w:w="60"/>
              <w:left w:type="dxa" w:w="100"/>
              <w:bottom w:type="dxa" w:w="60"/>
              <w:right w:type="dxa" w:w="100"/>
            </w:tcMar>
          </w:tcPr>
          <w:p>
            <w:pPr>
              <w:spacing w:after="0"/>
            </w:pPr>
            <w:r>
              <w:rPr>
                <w:rFonts w:ascii="Calibri" w:cs="Calibri" w:eastAsia="Calibri" w:hAnsi="Calibri"/>
                <w:sz w:val="18"/>
                <w:szCs w:val="18"/>
              </w:rPr>
              <w:t xml:space="preserve">IX</w:t>
            </w:r>
          </w:p>
        </w:tc>
        <w:tc>
          <w:tcPr>
            <w:tcW w:type="dxa" w:w="3900"/>
            <w:tcMar>
              <w:top w:type="dxa" w:w="60"/>
              <w:left w:type="dxa" w:w="100"/>
              <w:bottom w:type="dxa" w:w="60"/>
              <w:right w:type="dxa" w:w="100"/>
            </w:tcMar>
          </w:tcPr>
          <w:p>
            <w:pPr>
              <w:spacing w:after="0"/>
            </w:pPr>
            <w:r>
              <w:rPr>
                <w:rFonts w:ascii="Calibri" w:cs="Calibri" w:eastAsia="Calibri" w:hAnsi="Calibri"/>
                <w:sz w:val="18"/>
                <w:szCs w:val="18"/>
              </w:rPr>
              <w:t xml:space="preserve">Identificación de personas en listas</w:t>
            </w:r>
          </w:p>
        </w:tc>
        <w:tc>
          <w:tcPr>
            <w:tcW w:type="dxa" w:w="2200"/>
            <w:tcMar>
              <w:top w:type="dxa" w:w="60"/>
              <w:left w:type="dxa" w:w="100"/>
              <w:bottom w:type="dxa" w:w="60"/>
              <w:right w:type="dxa" w:w="100"/>
            </w:tcMar>
          </w:tcPr>
          <w:p>
            <w:pPr>
              <w:spacing w:after="0"/>
            </w:pPr>
            <w:r>
              <w:rPr>
                <w:rFonts w:ascii="Calibri" w:cs="Calibri" w:eastAsia="Calibri" w:hAnsi="Calibri"/>
                <w:sz w:val="18"/>
                <w:szCs w:val="18"/>
              </w:rPr>
              <w:t xml:space="preserve">Caps. 15 y 15.1</w:t>
            </w:r>
          </w:p>
        </w:tc>
        <w:tc>
          <w:tcPr>
            <w:tcW w:type="dxa" w:w="2500"/>
            <w:tcMar>
              <w:top w:type="dxa" w:w="60"/>
              <w:left w:type="dxa" w:w="100"/>
              <w:bottom w:type="dxa" w:w="60"/>
              <w:right w:type="dxa" w:w="100"/>
            </w:tcMar>
          </w:tcPr>
          <w:p>
            <w:pPr>
              <w:spacing w:after="0"/>
            </w:pPr>
            <w:r>
              <w:rPr>
                <w:rFonts w:ascii="Calibri" w:cs="Calibri" w:eastAsia="Calibri" w:hAnsi="Calibri"/>
                <w:sz w:val="18"/>
                <w:szCs w:val="18"/>
              </w:rPr>
              <w:t xml:space="preserve">—</w:t>
            </w:r>
          </w:p>
        </w:tc>
      </w:tr>
      <w:tr>
        <w:trPr>
          <w:cantSplit/>
        </w:trPr>
        <w:tc>
          <w:tcPr>
            <w:tcW w:type="dxa" w:w="900"/>
            <w:tcMar>
              <w:top w:type="dxa" w:w="60"/>
              <w:left w:type="dxa" w:w="100"/>
              <w:bottom w:type="dxa" w:w="60"/>
              <w:right w:type="dxa" w:w="100"/>
            </w:tcMar>
          </w:tcPr>
          <w:p>
            <w:pPr>
              <w:spacing w:after="0"/>
            </w:pPr>
            <w:r>
              <w:rPr>
                <w:rFonts w:ascii="Calibri" w:cs="Calibri" w:eastAsia="Calibri" w:hAnsi="Calibri"/>
                <w:sz w:val="18"/>
                <w:szCs w:val="18"/>
              </w:rPr>
              <w:t xml:space="preserve">X</w:t>
            </w:r>
          </w:p>
        </w:tc>
        <w:tc>
          <w:tcPr>
            <w:tcW w:type="dxa" w:w="3900"/>
            <w:tcMar>
              <w:top w:type="dxa" w:w="60"/>
              <w:left w:type="dxa" w:w="100"/>
              <w:bottom w:type="dxa" w:w="60"/>
              <w:right w:type="dxa" w:w="100"/>
            </w:tcMar>
          </w:tcPr>
          <w:p>
            <w:pPr>
              <w:spacing w:after="0"/>
            </w:pPr>
            <w:r>
              <w:rPr>
                <w:rFonts w:ascii="Calibri" w:cs="Calibri" w:eastAsia="Calibri" w:hAnsi="Calibri"/>
                <w:sz w:val="18"/>
                <w:szCs w:val="18"/>
              </w:rPr>
              <w:t xml:space="preserve">Funciones y responsabilidades del Representante (despacho) o del Profesional Titular (persona física)</w:t>
            </w:r>
          </w:p>
        </w:tc>
        <w:tc>
          <w:tcPr>
            <w:tcW w:type="dxa" w:w="2200"/>
            <w:tcMar>
              <w:top w:type="dxa" w:w="60"/>
              <w:left w:type="dxa" w:w="100"/>
              <w:bottom w:type="dxa" w:w="60"/>
              <w:right w:type="dxa" w:w="100"/>
            </w:tcMar>
          </w:tcPr>
          <w:p>
            <w:pPr>
              <w:spacing w:after="0"/>
            </w:pPr>
            <w:r>
              <w:rPr>
                <w:rFonts w:ascii="Calibri" w:cs="Calibri" w:eastAsia="Calibri" w:hAnsi="Calibri"/>
                <w:sz w:val="18"/>
                <w:szCs w:val="18"/>
              </w:rPr>
              <w:t xml:space="preserve">Caps. 3 y 3.1</w:t>
            </w:r>
          </w:p>
        </w:tc>
        <w:tc>
          <w:tcPr>
            <w:tcW w:type="dxa" w:w="2500"/>
            <w:tcMar>
              <w:top w:type="dxa" w:w="60"/>
              <w:left w:type="dxa" w:w="100"/>
              <w:bottom w:type="dxa" w:w="60"/>
              <w:right w:type="dxa" w:w="100"/>
            </w:tcMar>
          </w:tcPr>
          <w:p>
            <w:pPr>
              <w:spacing w:after="0"/>
            </w:pPr>
            <w:r>
              <w:rPr>
                <w:rFonts w:ascii="Calibri" w:cs="Calibri" w:eastAsia="Calibri" w:hAnsi="Calibri"/>
                <w:sz w:val="18"/>
                <w:szCs w:val="18"/>
              </w:rPr>
              <w:t xml:space="preserve">D2-PROF-PM / D2-PROF-PF</w:t>
            </w:r>
          </w:p>
        </w:tc>
      </w:tr>
      <w:tr>
        <w:trPr>
          <w:cantSplit/>
        </w:trPr>
        <w:tc>
          <w:tcPr>
            <w:tcW w:type="dxa" w:w="900"/>
            <w:tcMar>
              <w:top w:type="dxa" w:w="60"/>
              <w:left w:type="dxa" w:w="100"/>
              <w:bottom w:type="dxa" w:w="60"/>
              <w:right w:type="dxa" w:w="100"/>
            </w:tcMar>
          </w:tcPr>
          <w:p>
            <w:pPr>
              <w:spacing w:after="0"/>
            </w:pPr>
            <w:r>
              <w:rPr>
                <w:rFonts w:ascii="Calibri" w:cs="Calibri" w:eastAsia="Calibri" w:hAnsi="Calibri"/>
                <w:sz w:val="18"/>
                <w:szCs w:val="18"/>
              </w:rPr>
              <w:t xml:space="preserve">XI</w:t>
            </w:r>
          </w:p>
        </w:tc>
        <w:tc>
          <w:tcPr>
            <w:tcW w:type="dxa" w:w="3900"/>
            <w:tcMar>
              <w:top w:type="dxa" w:w="60"/>
              <w:left w:type="dxa" w:w="100"/>
              <w:bottom w:type="dxa" w:w="60"/>
              <w:right w:type="dxa" w:w="100"/>
            </w:tcMar>
          </w:tcPr>
          <w:p>
            <w:pPr>
              <w:spacing w:after="0"/>
            </w:pPr>
            <w:r>
              <w:rPr>
                <w:rFonts w:ascii="Calibri" w:cs="Calibri" w:eastAsia="Calibri" w:hAnsi="Calibri"/>
                <w:sz w:val="18"/>
                <w:szCs w:val="18"/>
              </w:rPr>
              <w:t xml:space="preserve">Programas de capacitación</w:t>
            </w:r>
          </w:p>
        </w:tc>
        <w:tc>
          <w:tcPr>
            <w:tcW w:type="dxa" w:w="2200"/>
            <w:tcMar>
              <w:top w:type="dxa" w:w="60"/>
              <w:left w:type="dxa" w:w="100"/>
              <w:bottom w:type="dxa" w:w="60"/>
              <w:right w:type="dxa" w:w="100"/>
            </w:tcMar>
          </w:tcPr>
          <w:p>
            <w:pPr>
              <w:spacing w:after="0"/>
            </w:pPr>
            <w:r>
              <w:rPr>
                <w:rFonts w:ascii="Calibri" w:cs="Calibri" w:eastAsia="Calibri" w:hAnsi="Calibri"/>
                <w:sz w:val="18"/>
                <w:szCs w:val="18"/>
              </w:rPr>
              <w:t xml:space="preserve">Caps. 11, 11.1 y 19</w:t>
            </w:r>
          </w:p>
        </w:tc>
        <w:tc>
          <w:tcPr>
            <w:tcW w:type="dxa" w:w="2500"/>
            <w:tcMar>
              <w:top w:type="dxa" w:w="60"/>
              <w:left w:type="dxa" w:w="100"/>
              <w:bottom w:type="dxa" w:w="60"/>
              <w:right w:type="dxa" w:w="100"/>
            </w:tcMar>
          </w:tcPr>
          <w:p>
            <w:pPr>
              <w:spacing w:after="0"/>
            </w:pPr>
            <w:r>
              <w:rPr>
                <w:rFonts w:ascii="Calibri" w:cs="Calibri" w:eastAsia="Calibri" w:hAnsi="Calibri"/>
                <w:sz w:val="18"/>
                <w:szCs w:val="18"/>
              </w:rPr>
              <w:t xml:space="preserve">D11-PROF, D11B-PROF, D11C-PROF</w:t>
            </w:r>
          </w:p>
        </w:tc>
      </w:tr>
      <w:tr>
        <w:trPr>
          <w:cantSplit/>
        </w:trPr>
        <w:tc>
          <w:tcPr>
            <w:tcW w:type="dxa" w:w="900"/>
            <w:tcMar>
              <w:top w:type="dxa" w:w="60"/>
              <w:left w:type="dxa" w:w="100"/>
              <w:bottom w:type="dxa" w:w="60"/>
              <w:right w:type="dxa" w:w="100"/>
            </w:tcMar>
          </w:tcPr>
          <w:p>
            <w:pPr>
              <w:spacing w:after="0"/>
            </w:pPr>
            <w:r>
              <w:rPr>
                <w:rFonts w:ascii="Calibri" w:cs="Calibri" w:eastAsia="Calibri" w:hAnsi="Calibri"/>
                <w:sz w:val="18"/>
                <w:szCs w:val="18"/>
              </w:rPr>
              <w:t xml:space="preserve">XII</w:t>
            </w:r>
          </w:p>
        </w:tc>
        <w:tc>
          <w:tcPr>
            <w:tcW w:type="dxa" w:w="3900"/>
            <w:tcMar>
              <w:top w:type="dxa" w:w="60"/>
              <w:left w:type="dxa" w:w="100"/>
              <w:bottom w:type="dxa" w:w="60"/>
              <w:right w:type="dxa" w:w="100"/>
            </w:tcMar>
          </w:tcPr>
          <w:p>
            <w:pPr>
              <w:spacing w:after="0"/>
            </w:pPr>
            <w:r>
              <w:rPr>
                <w:rFonts w:ascii="Calibri" w:cs="Calibri" w:eastAsia="Calibri" w:hAnsi="Calibri"/>
                <w:sz w:val="18"/>
                <w:szCs w:val="18"/>
              </w:rPr>
              <w:t xml:space="preserve">Control interno, supervisión y auditoría</w:t>
            </w:r>
          </w:p>
        </w:tc>
        <w:tc>
          <w:tcPr>
            <w:tcW w:type="dxa" w:w="2200"/>
            <w:tcMar>
              <w:top w:type="dxa" w:w="60"/>
              <w:left w:type="dxa" w:w="100"/>
              <w:bottom w:type="dxa" w:w="60"/>
              <w:right w:type="dxa" w:w="100"/>
            </w:tcMar>
          </w:tcPr>
          <w:p>
            <w:pPr>
              <w:spacing w:after="0"/>
            </w:pPr>
            <w:r>
              <w:rPr>
                <w:rFonts w:ascii="Calibri" w:cs="Calibri" w:eastAsia="Calibri" w:hAnsi="Calibri"/>
                <w:sz w:val="18"/>
                <w:szCs w:val="18"/>
              </w:rPr>
              <w:t xml:space="preserve">Caps. 12, 12.1 y 18</w:t>
            </w:r>
          </w:p>
        </w:tc>
        <w:tc>
          <w:tcPr>
            <w:tcW w:type="dxa" w:w="2500"/>
            <w:tcMar>
              <w:top w:type="dxa" w:w="60"/>
              <w:left w:type="dxa" w:w="100"/>
              <w:bottom w:type="dxa" w:w="60"/>
              <w:right w:type="dxa" w:w="100"/>
            </w:tcMar>
          </w:tcPr>
          <w:p>
            <w:pPr>
              <w:spacing w:after="0"/>
            </w:pPr>
            <w:r>
              <w:rPr>
                <w:rFonts w:ascii="Calibri" w:cs="Calibri" w:eastAsia="Calibri" w:hAnsi="Calibri"/>
                <w:sz w:val="18"/>
                <w:szCs w:val="18"/>
              </w:rPr>
              <w:t xml:space="preserve">D13-PROF</w:t>
            </w:r>
          </w:p>
        </w:tc>
      </w:tr>
      <w:tr>
        <w:trPr>
          <w:cantSplit/>
        </w:trPr>
        <w:tc>
          <w:tcPr>
            <w:tcW w:type="dxa" w:w="900"/>
            <w:tcMar>
              <w:top w:type="dxa" w:w="60"/>
              <w:left w:type="dxa" w:w="100"/>
              <w:bottom w:type="dxa" w:w="60"/>
              <w:right w:type="dxa" w:w="100"/>
            </w:tcMar>
          </w:tcPr>
          <w:p>
            <w:pPr>
              <w:spacing w:after="0"/>
            </w:pPr>
            <w:r>
              <w:rPr>
                <w:rFonts w:ascii="Calibri" w:cs="Calibri" w:eastAsia="Calibri" w:hAnsi="Calibri"/>
                <w:sz w:val="18"/>
                <w:szCs w:val="18"/>
              </w:rPr>
              <w:t xml:space="preserve">XIII</w:t>
            </w:r>
          </w:p>
        </w:tc>
        <w:tc>
          <w:tcPr>
            <w:tcW w:type="dxa" w:w="3900"/>
            <w:tcMar>
              <w:top w:type="dxa" w:w="60"/>
              <w:left w:type="dxa" w:w="100"/>
              <w:bottom w:type="dxa" w:w="60"/>
              <w:right w:type="dxa" w:w="100"/>
            </w:tcMar>
          </w:tcPr>
          <w:p>
            <w:pPr>
              <w:spacing w:after="0"/>
            </w:pPr>
            <w:r>
              <w:rPr>
                <w:rFonts w:ascii="Calibri" w:cs="Calibri" w:eastAsia="Calibri" w:hAnsi="Calibri"/>
                <w:sz w:val="18"/>
                <w:szCs w:val="18"/>
              </w:rPr>
              <w:t xml:space="preserve">Confidencialidad de la información y secreto profesional</w:t>
            </w:r>
          </w:p>
        </w:tc>
        <w:tc>
          <w:tcPr>
            <w:tcW w:type="dxa" w:w="2200"/>
            <w:tcMar>
              <w:top w:type="dxa" w:w="60"/>
              <w:left w:type="dxa" w:w="100"/>
              <w:bottom w:type="dxa" w:w="60"/>
              <w:right w:type="dxa" w:w="100"/>
            </w:tcMar>
          </w:tcPr>
          <w:p>
            <w:pPr>
              <w:spacing w:after="0"/>
            </w:pPr>
            <w:r>
              <w:rPr>
                <w:rFonts w:ascii="Calibri" w:cs="Calibri" w:eastAsia="Calibri" w:hAnsi="Calibri"/>
                <w:sz w:val="18"/>
                <w:szCs w:val="18"/>
              </w:rPr>
              <w:t xml:space="preserve">Caps. 16, 16.1 y 20</w:t>
            </w:r>
          </w:p>
        </w:tc>
        <w:tc>
          <w:tcPr>
            <w:tcW w:type="dxa" w:w="2500"/>
            <w:tcMar>
              <w:top w:type="dxa" w:w="60"/>
              <w:left w:type="dxa" w:w="100"/>
              <w:bottom w:type="dxa" w:w="60"/>
              <w:right w:type="dxa" w:w="100"/>
            </w:tcMar>
          </w:tcPr>
          <w:p>
            <w:pPr>
              <w:spacing w:after="0"/>
            </w:pPr>
            <w:r>
              <w:rPr>
                <w:rFonts w:ascii="Calibri" w:cs="Calibri" w:eastAsia="Calibri" w:hAnsi="Calibri"/>
                <w:sz w:val="18"/>
                <w:szCs w:val="18"/>
              </w:rPr>
              <w:t xml:space="preserve">—</w:t>
            </w:r>
          </w:p>
        </w:tc>
      </w:tr>
      <w:tr>
        <w:trPr>
          <w:cantSplit/>
        </w:trPr>
        <w:tc>
          <w:tcPr>
            <w:tcW w:type="dxa" w:w="900"/>
            <w:tcMar>
              <w:top w:type="dxa" w:w="60"/>
              <w:left w:type="dxa" w:w="100"/>
              <w:bottom w:type="dxa" w:w="60"/>
              <w:right w:type="dxa" w:w="100"/>
            </w:tcMar>
          </w:tcPr>
          <w:p>
            <w:pPr>
              <w:spacing w:after="0"/>
            </w:pPr>
            <w:r>
              <w:rPr>
                <w:rFonts w:ascii="Calibri" w:cs="Calibri" w:eastAsia="Calibri" w:hAnsi="Calibri"/>
                <w:sz w:val="18"/>
                <w:szCs w:val="18"/>
              </w:rPr>
              <w:t xml:space="preserve">XIV</w:t>
            </w:r>
          </w:p>
        </w:tc>
        <w:tc>
          <w:tcPr>
            <w:tcW w:type="dxa" w:w="3900"/>
            <w:tcMar>
              <w:top w:type="dxa" w:w="60"/>
              <w:left w:type="dxa" w:w="100"/>
              <w:bottom w:type="dxa" w:w="60"/>
              <w:right w:type="dxa" w:w="100"/>
            </w:tcMar>
          </w:tcPr>
          <w:p>
            <w:pPr>
              <w:spacing w:after="0"/>
            </w:pPr>
            <w:r>
              <w:rPr>
                <w:rFonts w:ascii="Calibri" w:cs="Calibri" w:eastAsia="Calibri" w:hAnsi="Calibri"/>
                <w:sz w:val="18"/>
                <w:szCs w:val="18"/>
              </w:rPr>
              <w:t xml:space="preserve">Actualización del Manual</w:t>
            </w:r>
          </w:p>
        </w:tc>
        <w:tc>
          <w:tcPr>
            <w:tcW w:type="dxa" w:w="2200"/>
            <w:tcMar>
              <w:top w:type="dxa" w:w="60"/>
              <w:left w:type="dxa" w:w="100"/>
              <w:bottom w:type="dxa" w:w="60"/>
              <w:right w:type="dxa" w:w="100"/>
            </w:tcMar>
          </w:tcPr>
          <w:p>
            <w:pPr>
              <w:spacing w:after="0"/>
            </w:pPr>
            <w:r>
              <w:rPr>
                <w:rFonts w:ascii="Calibri" w:cs="Calibri" w:eastAsia="Calibri" w:hAnsi="Calibri"/>
                <w:sz w:val="18"/>
                <w:szCs w:val="18"/>
              </w:rPr>
              <w:t xml:space="preserve">Caps. 23 y 23.1; Anexo D</w:t>
            </w:r>
          </w:p>
        </w:tc>
        <w:tc>
          <w:tcPr>
            <w:tcW w:type="dxa" w:w="2500"/>
            <w:tcMar>
              <w:top w:type="dxa" w:w="60"/>
              <w:left w:type="dxa" w:w="100"/>
              <w:bottom w:type="dxa" w:w="60"/>
              <w:right w:type="dxa" w:w="100"/>
            </w:tcMar>
          </w:tcPr>
          <w:p>
            <w:pPr>
              <w:spacing w:after="0"/>
            </w:pPr>
            <w:r>
              <w:rPr>
                <w:rFonts w:ascii="Calibri" w:cs="Calibri" w:eastAsia="Calibri" w:hAnsi="Calibri"/>
                <w:sz w:val="18"/>
                <w:szCs w:val="18"/>
              </w:rPr>
              <w:t xml:space="preserve">—</w:t>
            </w:r>
          </w:p>
        </w:tc>
      </w:tr>
      <w:tr>
        <w:trPr>
          <w:cantSplit/>
        </w:trPr>
        <w:tc>
          <w:tcPr>
            <w:tcW w:type="dxa" w:w="900"/>
            <w:tcMar>
              <w:top w:type="dxa" w:w="60"/>
              <w:left w:type="dxa" w:w="100"/>
              <w:bottom w:type="dxa" w:w="60"/>
              <w:right w:type="dxa" w:w="100"/>
            </w:tcMar>
          </w:tcPr>
          <w:p>
            <w:pPr>
              <w:spacing w:after="0"/>
            </w:pPr>
            <w:r>
              <w:rPr>
                <w:rFonts w:ascii="Calibri" w:cs="Calibri" w:eastAsia="Calibri" w:hAnsi="Calibri"/>
                <w:sz w:val="18"/>
                <w:szCs w:val="18"/>
              </w:rPr>
              <w:t xml:space="preserve">Art. 37, 3er párr.</w:t>
            </w:r>
          </w:p>
        </w:tc>
        <w:tc>
          <w:tcPr>
            <w:tcW w:type="dxa" w:w="3900"/>
            <w:tcMar>
              <w:top w:type="dxa" w:w="60"/>
              <w:left w:type="dxa" w:w="100"/>
              <w:bottom w:type="dxa" w:w="60"/>
              <w:right w:type="dxa" w:w="100"/>
            </w:tcMar>
          </w:tcPr>
          <w:p>
            <w:pPr>
              <w:spacing w:after="0"/>
            </w:pPr>
            <w:r>
              <w:rPr>
                <w:rFonts w:ascii="Calibri" w:cs="Calibri" w:eastAsia="Calibri" w:hAnsi="Calibri"/>
                <w:sz w:val="18"/>
                <w:szCs w:val="18"/>
              </w:rPr>
              <w:t xml:space="preserve">Apertura, limitación y terminación de relaciones comerciales</w:t>
            </w:r>
          </w:p>
        </w:tc>
        <w:tc>
          <w:tcPr>
            <w:tcW w:type="dxa" w:w="2200"/>
            <w:tcMar>
              <w:top w:type="dxa" w:w="60"/>
              <w:left w:type="dxa" w:w="100"/>
              <w:bottom w:type="dxa" w:w="60"/>
              <w:right w:type="dxa" w:w="100"/>
            </w:tcMar>
          </w:tcPr>
          <w:p>
            <w:pPr>
              <w:spacing w:after="0"/>
            </w:pPr>
            <w:r>
              <w:rPr>
                <w:rFonts w:ascii="Calibri" w:cs="Calibri" w:eastAsia="Calibri" w:hAnsi="Calibri"/>
                <w:sz w:val="18"/>
                <w:szCs w:val="18"/>
              </w:rPr>
              <w:t xml:space="preserve">Cap. 17</w:t>
            </w:r>
          </w:p>
        </w:tc>
        <w:tc>
          <w:tcPr>
            <w:tcW w:type="dxa" w:w="2500"/>
            <w:tcMar>
              <w:top w:type="dxa" w:w="60"/>
              <w:left w:type="dxa" w:w="100"/>
              <w:bottom w:type="dxa" w:w="60"/>
              <w:right w:type="dxa" w:w="100"/>
            </w:tcMar>
          </w:tcPr>
          <w:p>
            <w:pPr>
              <w:spacing w:after="0"/>
            </w:pPr>
            <w:r>
              <w:rPr>
                <w:rFonts w:ascii="Calibri" w:cs="Calibri" w:eastAsia="Calibri" w:hAnsi="Calibri"/>
                <w:sz w:val="18"/>
                <w:szCs w:val="18"/>
              </w:rPr>
              <w:t xml:space="preserve">D6-PROF</w:t>
            </w:r>
          </w:p>
        </w:tc>
      </w:tr>
      <w:tr>
        <w:trPr>
          <w:cantSplit/>
        </w:trPr>
        <w:tc>
          <w:tcPr>
            <w:tcW w:type="dxa" w:w="900"/>
            <w:tcMar>
              <w:top w:type="dxa" w:w="60"/>
              <w:left w:type="dxa" w:w="100"/>
              <w:bottom w:type="dxa" w:w="60"/>
              <w:right w:type="dxa" w:w="100"/>
            </w:tcMar>
          </w:tcPr>
          <w:p>
            <w:pPr>
              <w:spacing w:after="0"/>
            </w:pPr>
            <w:r>
              <w:rPr>
                <w:rFonts w:ascii="Calibri" w:cs="Calibri" w:eastAsia="Calibri" w:hAnsi="Calibri"/>
                <w:sz w:val="18"/>
                <w:szCs w:val="18"/>
              </w:rPr>
              <w:t xml:space="preserve">37 Bis 1</w:t>
            </w:r>
          </w:p>
        </w:tc>
        <w:tc>
          <w:tcPr>
            <w:tcW w:type="dxa" w:w="3900"/>
            <w:tcMar>
              <w:top w:type="dxa" w:w="60"/>
              <w:left w:type="dxa" w:w="100"/>
              <w:bottom w:type="dxa" w:w="60"/>
              <w:right w:type="dxa" w:w="100"/>
            </w:tcMar>
          </w:tcPr>
          <w:p>
            <w:pPr>
              <w:spacing w:after="0"/>
            </w:pPr>
            <w:r>
              <w:rPr>
                <w:rFonts w:ascii="Calibri" w:cs="Calibri" w:eastAsia="Calibri" w:hAnsi="Calibri"/>
                <w:sz w:val="18"/>
                <w:szCs w:val="18"/>
              </w:rPr>
              <w:t xml:space="preserve">Grupo Empresarial</w:t>
            </w:r>
          </w:p>
        </w:tc>
        <w:tc>
          <w:tcPr>
            <w:tcW w:type="dxa" w:w="2200"/>
            <w:tcMar>
              <w:top w:type="dxa" w:w="60"/>
              <w:left w:type="dxa" w:w="100"/>
              <w:bottom w:type="dxa" w:w="60"/>
              <w:right w:type="dxa" w:w="100"/>
            </w:tcMar>
          </w:tcPr>
          <w:p>
            <w:pPr>
              <w:spacing w:after="0"/>
            </w:pPr>
            <w:r>
              <w:rPr>
                <w:rFonts w:ascii="Calibri" w:cs="Calibri" w:eastAsia="Calibri" w:hAnsi="Calibri"/>
                <w:sz w:val="18"/>
                <w:szCs w:val="18"/>
              </w:rPr>
              <w:t xml:space="preserve">Cap. 3.2</w:t>
            </w:r>
          </w:p>
        </w:tc>
        <w:tc>
          <w:tcPr>
            <w:tcW w:type="dxa" w:w="2500"/>
            <w:tcMar>
              <w:top w:type="dxa" w:w="60"/>
              <w:left w:type="dxa" w:w="100"/>
              <w:bottom w:type="dxa" w:w="60"/>
              <w:right w:type="dxa" w:w="100"/>
            </w:tcMar>
          </w:tcPr>
          <w:p>
            <w:pPr>
              <w:spacing w:after="0"/>
            </w:pPr>
            <w:r>
              <w:rPr>
                <w:rFonts w:ascii="Calibri" w:cs="Calibri" w:eastAsia="Calibri" w:hAnsi="Calibri"/>
                <w:sz w:val="18"/>
                <w:szCs w:val="18"/>
              </w:rPr>
              <w:t xml:space="preserve">—</w:t>
            </w:r>
          </w:p>
        </w:tc>
      </w:tr>
      <w:tr>
        <w:trPr>
          <w:cantSplit/>
        </w:trPr>
        <w:tc>
          <w:tcPr>
            <w:tcW w:type="dxa" w:w="900"/>
            <w:tcMar>
              <w:top w:type="dxa" w:w="60"/>
              <w:left w:type="dxa" w:w="100"/>
              <w:bottom w:type="dxa" w:w="60"/>
              <w:right w:type="dxa" w:w="100"/>
            </w:tcMar>
          </w:tcPr>
          <w:p>
            <w:pPr>
              <w:spacing w:after="0"/>
            </w:pPr>
            <w:r>
              <w:rPr>
                <w:rFonts w:ascii="Calibri" w:cs="Calibri" w:eastAsia="Calibri" w:hAnsi="Calibri"/>
                <w:sz w:val="18"/>
                <w:szCs w:val="18"/>
              </w:rPr>
              <w:t xml:space="preserve">37 Bis 2</w:t>
            </w:r>
          </w:p>
        </w:tc>
        <w:tc>
          <w:tcPr>
            <w:tcW w:type="dxa" w:w="3900"/>
            <w:tcMar>
              <w:top w:type="dxa" w:w="60"/>
              <w:left w:type="dxa" w:w="100"/>
              <w:bottom w:type="dxa" w:w="60"/>
              <w:right w:type="dxa" w:w="100"/>
            </w:tcMar>
          </w:tcPr>
          <w:p>
            <w:pPr>
              <w:spacing w:after="0"/>
            </w:pPr>
            <w:r>
              <w:rPr>
                <w:rFonts w:ascii="Calibri" w:cs="Calibri" w:eastAsia="Calibri" w:hAnsi="Calibri"/>
                <w:sz w:val="18"/>
                <w:szCs w:val="18"/>
              </w:rPr>
              <w:t xml:space="preserve">Supuestos que no se realizan (exención)</w:t>
            </w:r>
          </w:p>
        </w:tc>
        <w:tc>
          <w:tcPr>
            <w:tcW w:type="dxa" w:w="2200"/>
            <w:tcMar>
              <w:top w:type="dxa" w:w="60"/>
              <w:left w:type="dxa" w:w="100"/>
              <w:bottom w:type="dxa" w:w="60"/>
              <w:right w:type="dxa" w:w="100"/>
            </w:tcMar>
          </w:tcPr>
          <w:p>
            <w:pPr>
              <w:spacing w:after="0"/>
            </w:pPr>
            <w:r>
              <w:rPr>
                <w:rFonts w:ascii="Calibri" w:cs="Calibri" w:eastAsia="Calibri" w:hAnsi="Calibri"/>
                <w:sz w:val="18"/>
                <w:szCs w:val="18"/>
              </w:rPr>
              <w:t xml:space="preserve">Cap. 2</w:t>
            </w:r>
          </w:p>
        </w:tc>
        <w:tc>
          <w:tcPr>
            <w:tcW w:type="dxa" w:w="2500"/>
            <w:tcMar>
              <w:top w:type="dxa" w:w="60"/>
              <w:left w:type="dxa" w:w="100"/>
              <w:bottom w:type="dxa" w:w="60"/>
              <w:right w:type="dxa" w:w="100"/>
            </w:tcMar>
          </w:tcPr>
          <w:p>
            <w:pPr>
              <w:spacing w:after="0"/>
            </w:pPr>
            <w:r>
              <w:rPr>
                <w:rFonts w:ascii="Calibri" w:cs="Calibri" w:eastAsia="Calibri" w:hAnsi="Calibri"/>
                <w:sz w:val="18"/>
                <w:szCs w:val="18"/>
              </w:rPr>
              <w:t xml:space="preserve">—</w:t>
            </w:r>
          </w:p>
        </w:tc>
      </w:tr>
      <w:tr>
        <w:trPr>
          <w:cantSplit/>
        </w:trPr>
        <w:tc>
          <w:tcPr>
            <w:tcW w:type="dxa" w:w="900"/>
            <w:tcMar>
              <w:top w:type="dxa" w:w="60"/>
              <w:left w:type="dxa" w:w="100"/>
              <w:bottom w:type="dxa" w:w="60"/>
              <w:right w:type="dxa" w:w="100"/>
            </w:tcMar>
          </w:tcPr>
          <w:p>
            <w:pPr>
              <w:spacing w:after="0"/>
            </w:pPr>
            <w:r>
              <w:rPr>
                <w:rFonts w:ascii="Calibri" w:cs="Calibri" w:eastAsia="Calibri" w:hAnsi="Calibri"/>
                <w:sz w:val="18"/>
                <w:szCs w:val="18"/>
              </w:rPr>
              <w:t xml:space="preserve">37 Bis 3</w:t>
            </w:r>
          </w:p>
        </w:tc>
        <w:tc>
          <w:tcPr>
            <w:tcW w:type="dxa" w:w="3900"/>
            <w:tcMar>
              <w:top w:type="dxa" w:w="60"/>
              <w:left w:type="dxa" w:w="100"/>
              <w:bottom w:type="dxa" w:w="60"/>
              <w:right w:type="dxa" w:w="100"/>
            </w:tcMar>
          </w:tcPr>
          <w:p>
            <w:pPr>
              <w:spacing w:after="0"/>
            </w:pPr>
            <w:r>
              <w:rPr>
                <w:rFonts w:ascii="Calibri" w:cs="Calibri" w:eastAsia="Calibri" w:hAnsi="Calibri"/>
                <w:sz w:val="18"/>
                <w:szCs w:val="18"/>
              </w:rPr>
              <w:t xml:space="preserve">Modificaciones ordenadas por el SAT</w:t>
            </w:r>
          </w:p>
        </w:tc>
        <w:tc>
          <w:tcPr>
            <w:tcW w:type="dxa" w:w="2200"/>
            <w:tcMar>
              <w:top w:type="dxa" w:w="60"/>
              <w:left w:type="dxa" w:w="100"/>
              <w:bottom w:type="dxa" w:w="60"/>
              <w:right w:type="dxa" w:w="100"/>
            </w:tcMar>
          </w:tcPr>
          <w:p>
            <w:pPr>
              <w:spacing w:after="0"/>
            </w:pPr>
            <w:r>
              <w:rPr>
                <w:rFonts w:ascii="Calibri" w:cs="Calibri" w:eastAsia="Calibri" w:hAnsi="Calibri"/>
                <w:sz w:val="18"/>
                <w:szCs w:val="18"/>
              </w:rPr>
              <w:t xml:space="preserve">Cap. 23.1</w:t>
            </w:r>
          </w:p>
        </w:tc>
        <w:tc>
          <w:tcPr>
            <w:tcW w:type="dxa" w:w="2500"/>
            <w:tcMar>
              <w:top w:type="dxa" w:w="60"/>
              <w:left w:type="dxa" w:w="100"/>
              <w:bottom w:type="dxa" w:w="60"/>
              <w:right w:type="dxa" w:w="100"/>
            </w:tcMar>
          </w:tcPr>
          <w:p>
            <w:pPr>
              <w:spacing w:after="0"/>
            </w:pPr>
            <w:r>
              <w:rPr>
                <w:rFonts w:ascii="Calibri" w:cs="Calibri" w:eastAsia="Calibri" w:hAnsi="Calibri"/>
                <w:sz w:val="18"/>
                <w:szCs w:val="18"/>
              </w:rPr>
              <w:t xml:space="preserve">—</w:t>
            </w:r>
          </w:p>
        </w:tc>
      </w:tr>
      <w:tr>
        <w:trPr>
          <w:cantSplit/>
        </w:trPr>
        <w:tc>
          <w:tcPr>
            <w:tcW w:type="dxa" w:w="900"/>
            <w:tcMar>
              <w:top w:type="dxa" w:w="60"/>
              <w:left w:type="dxa" w:w="100"/>
              <w:bottom w:type="dxa" w:w="60"/>
              <w:right w:type="dxa" w:w="100"/>
            </w:tcMar>
          </w:tcPr>
          <w:p>
            <w:pPr>
              <w:spacing w:after="0"/>
            </w:pPr>
            <w:r>
              <w:rPr>
                <w:rFonts w:ascii="Calibri" w:cs="Calibri" w:eastAsia="Calibri" w:hAnsi="Calibri"/>
                <w:sz w:val="18"/>
                <w:szCs w:val="18"/>
              </w:rPr>
              <w:t xml:space="preserve">10 Septies</w:t>
            </w:r>
          </w:p>
        </w:tc>
        <w:tc>
          <w:tcPr>
            <w:tcW w:type="dxa" w:w="3900"/>
            <w:tcMar>
              <w:top w:type="dxa" w:w="60"/>
              <w:left w:type="dxa" w:w="100"/>
              <w:bottom w:type="dxa" w:w="60"/>
              <w:right w:type="dxa" w:w="100"/>
            </w:tcMar>
          </w:tcPr>
          <w:p>
            <w:pPr>
              <w:spacing w:after="0"/>
            </w:pPr>
            <w:r>
              <w:rPr>
                <w:rFonts w:ascii="Calibri" w:cs="Calibri" w:eastAsia="Calibri" w:hAnsi="Calibri"/>
                <w:sz w:val="18"/>
                <w:szCs w:val="18"/>
              </w:rPr>
              <w:t xml:space="preserve">Diseño de la metodología de evaluación de Riesgos</w:t>
            </w:r>
          </w:p>
        </w:tc>
        <w:tc>
          <w:tcPr>
            <w:tcW w:type="dxa" w:w="2200"/>
            <w:tcMar>
              <w:top w:type="dxa" w:w="60"/>
              <w:left w:type="dxa" w:w="100"/>
              <w:bottom w:type="dxa" w:w="60"/>
              <w:right w:type="dxa" w:w="100"/>
            </w:tcMar>
          </w:tcPr>
          <w:p>
            <w:pPr>
              <w:spacing w:after="0"/>
            </w:pPr>
            <w:r>
              <w:rPr>
                <w:rFonts w:ascii="Calibri" w:cs="Calibri" w:eastAsia="Calibri" w:hAnsi="Calibri"/>
                <w:sz w:val="18"/>
                <w:szCs w:val="18"/>
              </w:rPr>
              <w:t xml:space="preserve">Caps. 5 y 5.1</w:t>
            </w:r>
          </w:p>
        </w:tc>
        <w:tc>
          <w:tcPr>
            <w:tcW w:type="dxa" w:w="2500"/>
            <w:tcMar>
              <w:top w:type="dxa" w:w="60"/>
              <w:left w:type="dxa" w:w="100"/>
              <w:bottom w:type="dxa" w:w="60"/>
              <w:right w:type="dxa" w:w="100"/>
            </w:tcMar>
          </w:tcPr>
          <w:p>
            <w:pPr>
              <w:spacing w:after="0"/>
            </w:pPr>
            <w:r>
              <w:rPr>
                <w:rFonts w:ascii="Calibri" w:cs="Calibri" w:eastAsia="Calibri" w:hAnsi="Calibri"/>
                <w:sz w:val="18"/>
                <w:szCs w:val="18"/>
              </w:rPr>
              <w:t xml:space="preserve">D6-PROF</w:t>
            </w:r>
          </w:p>
        </w:tc>
      </w:tr>
      <w:tr>
        <w:trPr>
          <w:cantSplit/>
        </w:trPr>
        <w:tc>
          <w:tcPr>
            <w:tcW w:type="dxa" w:w="900"/>
            <w:tcMar>
              <w:top w:type="dxa" w:w="60"/>
              <w:left w:type="dxa" w:w="100"/>
              <w:bottom w:type="dxa" w:w="60"/>
              <w:right w:type="dxa" w:w="100"/>
            </w:tcMar>
          </w:tcPr>
          <w:p>
            <w:pPr>
              <w:spacing w:after="0"/>
            </w:pPr>
            <w:r>
              <w:rPr>
                <w:rFonts w:ascii="Calibri" w:cs="Calibri" w:eastAsia="Calibri" w:hAnsi="Calibri"/>
                <w:sz w:val="18"/>
                <w:szCs w:val="18"/>
              </w:rPr>
              <w:t xml:space="preserve">Art. 17</w:t>
            </w:r>
          </w:p>
        </w:tc>
        <w:tc>
          <w:tcPr>
            <w:tcW w:type="dxa" w:w="3900"/>
            <w:tcMar>
              <w:top w:type="dxa" w:w="60"/>
              <w:left w:type="dxa" w:w="100"/>
              <w:bottom w:type="dxa" w:w="60"/>
              <w:right w:type="dxa" w:w="100"/>
            </w:tcMar>
          </w:tcPr>
          <w:p>
            <w:pPr>
              <w:spacing w:after="0"/>
            </w:pPr>
            <w:r>
              <w:rPr>
                <w:rFonts w:ascii="Calibri" w:cs="Calibri" w:eastAsia="Calibri" w:hAnsi="Calibri"/>
                <w:sz w:val="18"/>
                <w:szCs w:val="18"/>
              </w:rPr>
              <w:t xml:space="preserve">Criterios de Riesgo bajo</w:t>
            </w:r>
          </w:p>
        </w:tc>
        <w:tc>
          <w:tcPr>
            <w:tcW w:type="dxa" w:w="2200"/>
            <w:tcMar>
              <w:top w:type="dxa" w:w="60"/>
              <w:left w:type="dxa" w:w="100"/>
              <w:bottom w:type="dxa" w:w="60"/>
              <w:right w:type="dxa" w:w="100"/>
            </w:tcMar>
          </w:tcPr>
          <w:p>
            <w:pPr>
              <w:spacing w:after="0"/>
            </w:pPr>
            <w:r>
              <w:rPr>
                <w:rFonts w:ascii="Calibri" w:cs="Calibri" w:eastAsia="Calibri" w:hAnsi="Calibri"/>
                <w:sz w:val="18"/>
                <w:szCs w:val="18"/>
              </w:rPr>
              <w:t xml:space="preserve">Cap. 5.2</w:t>
            </w:r>
          </w:p>
        </w:tc>
        <w:tc>
          <w:tcPr>
            <w:tcW w:type="dxa" w:w="2500"/>
            <w:tcMar>
              <w:top w:type="dxa" w:w="60"/>
              <w:left w:type="dxa" w:w="100"/>
              <w:bottom w:type="dxa" w:w="60"/>
              <w:right w:type="dxa" w:w="100"/>
            </w:tcMar>
          </w:tcPr>
          <w:p>
            <w:pPr>
              <w:spacing w:after="0"/>
            </w:pPr>
            <w:r>
              <w:rPr>
                <w:rFonts w:ascii="Calibri" w:cs="Calibri" w:eastAsia="Calibri" w:hAnsi="Calibri"/>
                <w:sz w:val="18"/>
                <w:szCs w:val="18"/>
              </w:rPr>
              <w:t xml:space="preserve">D6-PROF</w:t>
            </w:r>
          </w:p>
        </w:tc>
      </w:tr>
      <w:tr>
        <w:trPr>
          <w:cantSplit/>
        </w:trPr>
        <w:tc>
          <w:tcPr>
            <w:tcW w:type="dxa" w:w="900"/>
            <w:tcMar>
              <w:top w:type="dxa" w:w="60"/>
              <w:left w:type="dxa" w:w="100"/>
              <w:bottom w:type="dxa" w:w="60"/>
              <w:right w:type="dxa" w:w="100"/>
            </w:tcMar>
          </w:tcPr>
          <w:p>
            <w:pPr>
              <w:spacing w:after="0"/>
            </w:pPr>
            <w:r>
              <w:rPr>
                <w:rFonts w:ascii="Calibri" w:cs="Calibri" w:eastAsia="Calibri" w:hAnsi="Calibri"/>
                <w:sz w:val="18"/>
                <w:szCs w:val="18"/>
              </w:rPr>
              <w:t xml:space="preserve">Art. 18</w:t>
            </w:r>
          </w:p>
        </w:tc>
        <w:tc>
          <w:tcPr>
            <w:tcW w:type="dxa" w:w="3900"/>
            <w:tcMar>
              <w:top w:type="dxa" w:w="60"/>
              <w:left w:type="dxa" w:w="100"/>
              <w:bottom w:type="dxa" w:w="60"/>
              <w:right w:type="dxa" w:w="100"/>
            </w:tcMar>
          </w:tcPr>
          <w:p>
            <w:pPr>
              <w:spacing w:after="0"/>
            </w:pPr>
            <w:r>
              <w:rPr>
                <w:rFonts w:ascii="Calibri" w:cs="Calibri" w:eastAsia="Calibri" w:hAnsi="Calibri"/>
                <w:sz w:val="18"/>
                <w:szCs w:val="18"/>
              </w:rPr>
              <w:t xml:space="preserve">Actos u operaciones por medios electrónicos</w:t>
            </w:r>
          </w:p>
        </w:tc>
        <w:tc>
          <w:tcPr>
            <w:tcW w:type="dxa" w:w="2200"/>
            <w:tcMar>
              <w:top w:type="dxa" w:w="60"/>
              <w:left w:type="dxa" w:w="100"/>
              <w:bottom w:type="dxa" w:w="60"/>
              <w:right w:type="dxa" w:w="100"/>
            </w:tcMar>
          </w:tcPr>
          <w:p>
            <w:pPr>
              <w:spacing w:after="0"/>
            </w:pPr>
            <w:r>
              <w:rPr>
                <w:rFonts w:ascii="Calibri" w:cs="Calibri" w:eastAsia="Calibri" w:hAnsi="Calibri"/>
                <w:sz w:val="18"/>
                <w:szCs w:val="18"/>
              </w:rPr>
              <w:t xml:space="preserve">Cap. 2.2</w:t>
            </w:r>
          </w:p>
        </w:tc>
        <w:tc>
          <w:tcPr>
            <w:tcW w:type="dxa" w:w="2500"/>
            <w:tcMar>
              <w:top w:type="dxa" w:w="60"/>
              <w:left w:type="dxa" w:w="100"/>
              <w:bottom w:type="dxa" w:w="60"/>
              <w:right w:type="dxa" w:w="100"/>
            </w:tcMar>
          </w:tcPr>
          <w:p>
            <w:pPr>
              <w:spacing w:after="0"/>
            </w:pPr>
            <w:r>
              <w:rPr>
                <w:rFonts w:ascii="Calibri" w:cs="Calibri" w:eastAsia="Calibri" w:hAnsi="Calibri"/>
                <w:sz w:val="18"/>
                <w:szCs w:val="18"/>
              </w:rPr>
              <w:t xml:space="preserve">—</w:t>
            </w:r>
          </w:p>
        </w:tc>
      </w:tr>
      <w:tr>
        <w:trPr>
          <w:cantSplit/>
        </w:trPr>
        <w:tc>
          <w:tcPr>
            <w:tcW w:type="dxa" w:w="900"/>
            <w:tcMar>
              <w:top w:type="dxa" w:w="60"/>
              <w:left w:type="dxa" w:w="100"/>
              <w:bottom w:type="dxa" w:w="60"/>
              <w:right w:type="dxa" w:w="100"/>
            </w:tcMar>
          </w:tcPr>
          <w:p>
            <w:pPr>
              <w:spacing w:after="0"/>
            </w:pPr>
            <w:r>
              <w:rPr>
                <w:rFonts w:ascii="Calibri" w:cs="Calibri" w:eastAsia="Calibri" w:hAnsi="Calibri"/>
                <w:sz w:val="18"/>
                <w:szCs w:val="18"/>
              </w:rPr>
              <w:t xml:space="preserve">39 Bis 2</w:t>
            </w:r>
          </w:p>
        </w:tc>
        <w:tc>
          <w:tcPr>
            <w:tcW w:type="dxa" w:w="3900"/>
            <w:tcMar>
              <w:top w:type="dxa" w:w="60"/>
              <w:left w:type="dxa" w:w="100"/>
              <w:bottom w:type="dxa" w:w="60"/>
              <w:right w:type="dxa" w:w="100"/>
            </w:tcMar>
          </w:tcPr>
          <w:p>
            <w:pPr>
              <w:spacing w:after="0"/>
            </w:pPr>
            <w:r>
              <w:rPr>
                <w:rFonts w:ascii="Calibri" w:cs="Calibri" w:eastAsia="Calibri" w:hAnsi="Calibri"/>
                <w:sz w:val="18"/>
                <w:szCs w:val="18"/>
              </w:rPr>
              <w:t xml:space="preserve">Selección de personal</w:t>
            </w:r>
          </w:p>
        </w:tc>
        <w:tc>
          <w:tcPr>
            <w:tcW w:type="dxa" w:w="2200"/>
            <w:tcMar>
              <w:top w:type="dxa" w:w="60"/>
              <w:left w:type="dxa" w:w="100"/>
              <w:bottom w:type="dxa" w:w="60"/>
              <w:right w:type="dxa" w:w="100"/>
            </w:tcMar>
          </w:tcPr>
          <w:p>
            <w:pPr>
              <w:spacing w:after="0"/>
            </w:pPr>
            <w:r>
              <w:rPr>
                <w:rFonts w:ascii="Calibri" w:cs="Calibri" w:eastAsia="Calibri" w:hAnsi="Calibri"/>
                <w:sz w:val="18"/>
                <w:szCs w:val="18"/>
              </w:rPr>
              <w:t xml:space="preserve">Cap. 19</w:t>
            </w:r>
          </w:p>
        </w:tc>
        <w:tc>
          <w:tcPr>
            <w:tcW w:type="dxa" w:w="2500"/>
            <w:tcMar>
              <w:top w:type="dxa" w:w="60"/>
              <w:left w:type="dxa" w:w="100"/>
              <w:bottom w:type="dxa" w:w="60"/>
              <w:right w:type="dxa" w:w="100"/>
            </w:tcMar>
          </w:tcPr>
          <w:p>
            <w:pPr>
              <w:spacing w:after="0"/>
            </w:pPr>
            <w:r>
              <w:rPr>
                <w:rFonts w:ascii="Calibri" w:cs="Calibri" w:eastAsia="Calibri" w:hAnsi="Calibri"/>
                <w:sz w:val="18"/>
                <w:szCs w:val="18"/>
              </w:rPr>
              <w:t xml:space="preserve">—</w:t>
            </w:r>
          </w:p>
        </w:tc>
      </w:tr>
    </w:tbl>
    <w:p>
      <w:pPr>
        <w:spacing w:after="80"/>
      </w:pPr>
    </w:p>
    <w:p>
      <w:pPr>
        <w:keepNext/>
        <w:pageBreakBefore/>
        <w:shd w:fill="1F3864" w:val="clear"/>
        <w:spacing w:after="100" w:before="220"/>
      </w:pPr>
      <w:r>
        <w:rPr>
          <w:rFonts w:ascii="Calibri" w:cs="Calibri" w:eastAsia="Calibri" w:hAnsi="Calibri"/>
          <w:b/>
          <w:bCs/>
          <w:color w:val="FFFFFF"/>
          <w:sz w:val="22"/>
          <w:szCs w:val="22"/>
        </w:rPr>
        <w:t xml:space="preserve">Anexo B. Cuestionario de Identificación Reforzada (Arts. 23 Ter 3 y 23 Ter 4 RCG)</w:t>
      </w:r>
    </w:p>
    <w:p>
      <w:pPr>
        <w:spacing w:after="110"/>
      </w:pPr>
      <w:r>
        <w:rPr>
          <w:rFonts w:ascii="Calibri" w:cs="Calibri" w:eastAsia="Calibri" w:hAnsi="Calibri"/>
          <w:i/>
          <w:iCs/>
          <w:color w:val="666666"/>
          <w:sz w:val="19"/>
          <w:szCs w:val="19"/>
        </w:rPr>
        <w:t xml:space="preserve">Se aplica a Clientes o Usuarias de Riesgo alto al alta y en cada reevaluación. Puede llenarse a distancia, siempre con la Firma Electrónica de quien lo suscribe. Se integra al expediente del cliente.</w:t>
      </w:r>
    </w:p>
    <w:tbl>
      <w:tblPr>
        <w:tblW w:type="dxa" w:w="9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00"/>
        <w:gridCol w:w="5300"/>
      </w:tblGrid>
      <w:tr>
        <w:trPr>
          <w:tblHeader/>
        </w:trPr>
        <w:tc>
          <w:tcPr>
            <w:tcW w:type="dxa" w:w="4200"/>
            <w:shd w:fill="1F3864"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Rubro</w:t>
            </w:r>
          </w:p>
        </w:tc>
        <w:tc>
          <w:tcPr>
            <w:tcW w:type="dxa" w:w="5300"/>
            <w:shd w:fill="1F3864"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Respuesta del Cliente o Usuaria</w:t>
            </w:r>
          </w:p>
        </w:tc>
      </w:tr>
      <w:tr>
        <w:trPr>
          <w:cantSplit/>
        </w:trPr>
        <w:tc>
          <w:tcPr>
            <w:tcW w:type="dxa" w:w="4200"/>
            <w:tcMar>
              <w:top w:type="dxa" w:w="60"/>
              <w:left w:type="dxa" w:w="100"/>
              <w:bottom w:type="dxa" w:w="60"/>
              <w:right w:type="dxa" w:w="100"/>
            </w:tcMar>
          </w:tcPr>
          <w:p>
            <w:pPr>
              <w:spacing w:after="0"/>
            </w:pPr>
            <w:r>
              <w:rPr>
                <w:rFonts w:ascii="Calibri" w:cs="Calibri" w:eastAsia="Calibri" w:hAnsi="Calibri"/>
                <w:sz w:val="18"/>
                <w:szCs w:val="18"/>
              </w:rPr>
              <w:t xml:space="preserve">Nombre, denominación o razón social; RFC / CURP</w:t>
            </w:r>
          </w:p>
        </w:tc>
        <w:tc>
          <w:tcPr>
            <w:tcW w:type="dxa" w:w="5300"/>
            <w:tcMar>
              <w:top w:type="dxa" w:w="60"/>
              <w:left w:type="dxa" w:w="100"/>
              <w:bottom w:type="dxa" w:w="60"/>
              <w:right w:type="dxa" w:w="100"/>
            </w:tcMar>
          </w:tcPr>
          <w:p>
            <w:pPr>
              <w:spacing w:after="0"/>
            </w:pPr>
            <w:r>
              <w:rPr>
                <w:rFonts w:ascii="Calibri" w:cs="Calibri" w:eastAsia="Calibri" w:hAnsi="Calibri"/>
                <w:sz w:val="18"/>
                <w:szCs w:val="18"/>
              </w:rPr>
              <w:t xml:space="preserve"/>
            </w:r>
          </w:p>
        </w:tc>
      </w:tr>
      <w:tr>
        <w:trPr>
          <w:cantSplit/>
        </w:trPr>
        <w:tc>
          <w:tcPr>
            <w:tcW w:type="dxa" w:w="4200"/>
            <w:tcMar>
              <w:top w:type="dxa" w:w="60"/>
              <w:left w:type="dxa" w:w="100"/>
              <w:bottom w:type="dxa" w:w="60"/>
              <w:right w:type="dxa" w:w="100"/>
            </w:tcMar>
          </w:tcPr>
          <w:p>
            <w:pPr>
              <w:spacing w:after="0"/>
            </w:pPr>
            <w:r>
              <w:rPr>
                <w:rFonts w:ascii="Calibri" w:cs="Calibri" w:eastAsia="Calibri" w:hAnsi="Calibri"/>
                <w:sz w:val="18"/>
                <w:szCs w:val="18"/>
              </w:rPr>
              <w:t xml:space="preserve">Actividad, ocupación o giro preponderante; empleador o principales clientes</w:t>
            </w:r>
          </w:p>
        </w:tc>
        <w:tc>
          <w:tcPr>
            <w:tcW w:type="dxa" w:w="5300"/>
            <w:tcMar>
              <w:top w:type="dxa" w:w="60"/>
              <w:left w:type="dxa" w:w="100"/>
              <w:bottom w:type="dxa" w:w="60"/>
              <w:right w:type="dxa" w:w="100"/>
            </w:tcMar>
          </w:tcPr>
          <w:p>
            <w:pPr>
              <w:spacing w:after="0"/>
            </w:pPr>
            <w:r>
              <w:rPr>
                <w:rFonts w:ascii="Calibri" w:cs="Calibri" w:eastAsia="Calibri" w:hAnsi="Calibri"/>
                <w:sz w:val="18"/>
                <w:szCs w:val="18"/>
              </w:rPr>
              <w:t xml:space="preserve"/>
            </w:r>
          </w:p>
        </w:tc>
      </w:tr>
      <w:tr>
        <w:trPr>
          <w:cantSplit/>
        </w:trPr>
        <w:tc>
          <w:tcPr>
            <w:tcW w:type="dxa" w:w="4200"/>
            <w:tcMar>
              <w:top w:type="dxa" w:w="60"/>
              <w:left w:type="dxa" w:w="100"/>
              <w:bottom w:type="dxa" w:w="60"/>
              <w:right w:type="dxa" w:w="100"/>
            </w:tcMar>
          </w:tcPr>
          <w:p>
            <w:pPr>
              <w:spacing w:after="0"/>
            </w:pPr>
            <w:r>
              <w:rPr>
                <w:rFonts w:ascii="Calibri" w:cs="Calibri" w:eastAsia="Calibri" w:hAnsi="Calibri"/>
                <w:sz w:val="18"/>
                <w:szCs w:val="18"/>
              </w:rPr>
              <w:t xml:space="preserve">Ingresos o ventas anuales aproximados y su fuente</w:t>
            </w:r>
          </w:p>
        </w:tc>
        <w:tc>
          <w:tcPr>
            <w:tcW w:type="dxa" w:w="5300"/>
            <w:tcMar>
              <w:top w:type="dxa" w:w="60"/>
              <w:left w:type="dxa" w:w="100"/>
              <w:bottom w:type="dxa" w:w="60"/>
              <w:right w:type="dxa" w:w="100"/>
            </w:tcMar>
          </w:tcPr>
          <w:p>
            <w:pPr>
              <w:spacing w:after="0"/>
            </w:pPr>
            <w:r>
              <w:rPr>
                <w:rFonts w:ascii="Calibri" w:cs="Calibri" w:eastAsia="Calibri" w:hAnsi="Calibri"/>
                <w:sz w:val="18"/>
                <w:szCs w:val="18"/>
              </w:rPr>
              <w:t xml:space="preserve"/>
            </w:r>
          </w:p>
        </w:tc>
      </w:tr>
      <w:tr>
        <w:trPr>
          <w:cantSplit/>
        </w:trPr>
        <w:tc>
          <w:tcPr>
            <w:tcW w:type="dxa" w:w="4200"/>
            <w:tcMar>
              <w:top w:type="dxa" w:w="60"/>
              <w:left w:type="dxa" w:w="100"/>
              <w:bottom w:type="dxa" w:w="60"/>
              <w:right w:type="dxa" w:w="100"/>
            </w:tcMar>
          </w:tcPr>
          <w:p>
            <w:pPr>
              <w:spacing w:after="0"/>
            </w:pPr>
            <w:r>
              <w:rPr>
                <w:rFonts w:ascii="Calibri" w:cs="Calibri" w:eastAsia="Calibri" w:hAnsi="Calibri"/>
                <w:sz w:val="18"/>
                <w:szCs w:val="18"/>
              </w:rPr>
              <w:t xml:space="preserve">Origen de los recursos para este acto u operación (ahorro, venta de bien, crédito, utilidades, herencia, otro) y documento que lo soporta</w:t>
            </w:r>
          </w:p>
        </w:tc>
        <w:tc>
          <w:tcPr>
            <w:tcW w:type="dxa" w:w="5300"/>
            <w:tcMar>
              <w:top w:type="dxa" w:w="60"/>
              <w:left w:type="dxa" w:w="100"/>
              <w:bottom w:type="dxa" w:w="60"/>
              <w:right w:type="dxa" w:w="100"/>
            </w:tcMar>
          </w:tcPr>
          <w:p>
            <w:pPr>
              <w:spacing w:after="0"/>
            </w:pPr>
            <w:r>
              <w:rPr>
                <w:rFonts w:ascii="Calibri" w:cs="Calibri" w:eastAsia="Calibri" w:hAnsi="Calibri"/>
                <w:sz w:val="18"/>
                <w:szCs w:val="18"/>
              </w:rPr>
              <w:t xml:space="preserve"/>
            </w:r>
          </w:p>
        </w:tc>
      </w:tr>
      <w:tr>
        <w:trPr>
          <w:cantSplit/>
        </w:trPr>
        <w:tc>
          <w:tcPr>
            <w:tcW w:type="dxa" w:w="4200"/>
            <w:tcMar>
              <w:top w:type="dxa" w:w="60"/>
              <w:left w:type="dxa" w:w="100"/>
              <w:bottom w:type="dxa" w:w="60"/>
              <w:right w:type="dxa" w:w="100"/>
            </w:tcMar>
          </w:tcPr>
          <w:p>
            <w:pPr>
              <w:spacing w:after="0"/>
            </w:pPr>
            <w:r>
              <w:rPr>
                <w:rFonts w:ascii="Calibri" w:cs="Calibri" w:eastAsia="Calibri" w:hAnsi="Calibri"/>
                <w:sz w:val="18"/>
                <w:szCs w:val="18"/>
              </w:rPr>
              <w:t xml:space="preserve">Cuentas e instituciones financieras de donde provienen los recursos</w:t>
            </w:r>
          </w:p>
        </w:tc>
        <w:tc>
          <w:tcPr>
            <w:tcW w:type="dxa" w:w="5300"/>
            <w:tcMar>
              <w:top w:type="dxa" w:w="60"/>
              <w:left w:type="dxa" w:w="100"/>
              <w:bottom w:type="dxa" w:w="60"/>
              <w:right w:type="dxa" w:w="100"/>
            </w:tcMar>
          </w:tcPr>
          <w:p>
            <w:pPr>
              <w:spacing w:after="0"/>
            </w:pPr>
            <w:r>
              <w:rPr>
                <w:rFonts w:ascii="Calibri" w:cs="Calibri" w:eastAsia="Calibri" w:hAnsi="Calibri"/>
                <w:sz w:val="18"/>
                <w:szCs w:val="18"/>
              </w:rPr>
              <w:t xml:space="preserve"/>
            </w:r>
          </w:p>
        </w:tc>
      </w:tr>
      <w:tr>
        <w:trPr>
          <w:cantSplit/>
        </w:trPr>
        <w:tc>
          <w:tcPr>
            <w:tcW w:type="dxa" w:w="4200"/>
            <w:tcMar>
              <w:top w:type="dxa" w:w="60"/>
              <w:left w:type="dxa" w:w="100"/>
              <w:bottom w:type="dxa" w:w="60"/>
              <w:right w:type="dxa" w:w="100"/>
            </w:tcMar>
          </w:tcPr>
          <w:p>
            <w:pPr>
              <w:spacing w:after="0"/>
            </w:pPr>
            <w:r>
              <w:rPr>
                <w:rFonts w:ascii="Calibri" w:cs="Calibri" w:eastAsia="Calibri" w:hAnsi="Calibri"/>
                <w:sz w:val="18"/>
                <w:szCs w:val="18"/>
              </w:rPr>
              <w:t xml:space="preserve">Destino de los recursos o del bien (uso propio, inversión, reventa, arrendamiento, otro)</w:t>
            </w:r>
          </w:p>
        </w:tc>
        <w:tc>
          <w:tcPr>
            <w:tcW w:type="dxa" w:w="5300"/>
            <w:tcMar>
              <w:top w:type="dxa" w:w="60"/>
              <w:left w:type="dxa" w:w="100"/>
              <w:bottom w:type="dxa" w:w="60"/>
              <w:right w:type="dxa" w:w="100"/>
            </w:tcMar>
          </w:tcPr>
          <w:p>
            <w:pPr>
              <w:spacing w:after="0"/>
            </w:pPr>
            <w:r>
              <w:rPr>
                <w:rFonts w:ascii="Calibri" w:cs="Calibri" w:eastAsia="Calibri" w:hAnsi="Calibri"/>
                <w:sz w:val="18"/>
                <w:szCs w:val="18"/>
              </w:rPr>
              <w:t xml:space="preserve"/>
            </w:r>
          </w:p>
        </w:tc>
      </w:tr>
      <w:tr>
        <w:trPr>
          <w:cantSplit/>
        </w:trPr>
        <w:tc>
          <w:tcPr>
            <w:tcW w:type="dxa" w:w="4200"/>
            <w:tcMar>
              <w:top w:type="dxa" w:w="60"/>
              <w:left w:type="dxa" w:w="100"/>
              <w:bottom w:type="dxa" w:w="60"/>
              <w:right w:type="dxa" w:w="100"/>
            </w:tcMar>
          </w:tcPr>
          <w:p>
            <w:pPr>
              <w:spacing w:after="0"/>
            </w:pPr>
            <w:r>
              <w:rPr>
                <w:rFonts w:ascii="Calibri" w:cs="Calibri" w:eastAsia="Calibri" w:hAnsi="Calibri"/>
                <w:sz w:val="18"/>
                <w:szCs w:val="18"/>
              </w:rPr>
              <w:t xml:space="preserve">Actos u operaciones que estima realizar: número, frecuencia y monto máximo mensual</w:t>
            </w:r>
          </w:p>
        </w:tc>
        <w:tc>
          <w:tcPr>
            <w:tcW w:type="dxa" w:w="5300"/>
            <w:tcMar>
              <w:top w:type="dxa" w:w="60"/>
              <w:left w:type="dxa" w:w="100"/>
              <w:bottom w:type="dxa" w:w="60"/>
              <w:right w:type="dxa" w:w="100"/>
            </w:tcMar>
          </w:tcPr>
          <w:p>
            <w:pPr>
              <w:spacing w:after="0"/>
            </w:pPr>
            <w:r>
              <w:rPr>
                <w:rFonts w:ascii="Calibri" w:cs="Calibri" w:eastAsia="Calibri" w:hAnsi="Calibri"/>
                <w:sz w:val="18"/>
                <w:szCs w:val="18"/>
              </w:rPr>
              <w:t xml:space="preserve"/>
            </w:r>
          </w:p>
        </w:tc>
      </w:tr>
      <w:tr>
        <w:trPr>
          <w:cantSplit/>
        </w:trPr>
        <w:tc>
          <w:tcPr>
            <w:tcW w:type="dxa" w:w="4200"/>
            <w:tcMar>
              <w:top w:type="dxa" w:w="60"/>
              <w:left w:type="dxa" w:w="100"/>
              <w:bottom w:type="dxa" w:w="60"/>
              <w:right w:type="dxa" w:w="100"/>
            </w:tcMar>
          </w:tcPr>
          <w:p>
            <w:pPr>
              <w:spacing w:after="0"/>
            </w:pPr>
            <w:r>
              <w:rPr>
                <w:rFonts w:ascii="Calibri" w:cs="Calibri" w:eastAsia="Calibri" w:hAnsi="Calibri"/>
                <w:sz w:val="18"/>
                <w:szCs w:val="18"/>
              </w:rPr>
              <w:t xml:space="preserve">Terceros que pagarán o recibirán recursos y su relación con el cliente</w:t>
            </w:r>
          </w:p>
        </w:tc>
        <w:tc>
          <w:tcPr>
            <w:tcW w:type="dxa" w:w="5300"/>
            <w:tcMar>
              <w:top w:type="dxa" w:w="60"/>
              <w:left w:type="dxa" w:w="100"/>
              <w:bottom w:type="dxa" w:w="60"/>
              <w:right w:type="dxa" w:w="100"/>
            </w:tcMar>
          </w:tcPr>
          <w:p>
            <w:pPr>
              <w:spacing w:after="0"/>
            </w:pPr>
            <w:r>
              <w:rPr>
                <w:rFonts w:ascii="Calibri" w:cs="Calibri" w:eastAsia="Calibri" w:hAnsi="Calibri"/>
                <w:sz w:val="18"/>
                <w:szCs w:val="18"/>
              </w:rPr>
              <w:t xml:space="preserve"/>
            </w:r>
          </w:p>
        </w:tc>
      </w:tr>
      <w:tr>
        <w:trPr>
          <w:cantSplit/>
        </w:trPr>
        <w:tc>
          <w:tcPr>
            <w:tcW w:type="dxa" w:w="4200"/>
            <w:tcMar>
              <w:top w:type="dxa" w:w="60"/>
              <w:left w:type="dxa" w:w="100"/>
              <w:bottom w:type="dxa" w:w="60"/>
              <w:right w:type="dxa" w:w="100"/>
            </w:tcMar>
          </w:tcPr>
          <w:p>
            <w:pPr>
              <w:spacing w:after="0"/>
            </w:pPr>
            <w:r>
              <w:rPr>
                <w:rFonts w:ascii="Calibri" w:cs="Calibri" w:eastAsia="Calibri" w:hAnsi="Calibri"/>
                <w:sz w:val="18"/>
                <w:szCs w:val="18"/>
              </w:rPr>
              <w:t xml:space="preserve">Personas físicas: cónyuge y dependientes económicos (nombre, fecha de nacimiento, nacionalidad, CURP o RFC)</w:t>
            </w:r>
          </w:p>
        </w:tc>
        <w:tc>
          <w:tcPr>
            <w:tcW w:type="dxa" w:w="5300"/>
            <w:tcMar>
              <w:top w:type="dxa" w:w="60"/>
              <w:left w:type="dxa" w:w="100"/>
              <w:bottom w:type="dxa" w:w="60"/>
              <w:right w:type="dxa" w:w="100"/>
            </w:tcMar>
          </w:tcPr>
          <w:p>
            <w:pPr>
              <w:spacing w:after="0"/>
            </w:pPr>
            <w:r>
              <w:rPr>
                <w:rFonts w:ascii="Calibri" w:cs="Calibri" w:eastAsia="Calibri" w:hAnsi="Calibri"/>
                <w:sz w:val="18"/>
                <w:szCs w:val="18"/>
              </w:rPr>
              <w:t xml:space="preserve"/>
            </w:r>
          </w:p>
        </w:tc>
      </w:tr>
      <w:tr>
        <w:trPr>
          <w:cantSplit/>
        </w:trPr>
        <w:tc>
          <w:tcPr>
            <w:tcW w:type="dxa" w:w="4200"/>
            <w:tcMar>
              <w:top w:type="dxa" w:w="60"/>
              <w:left w:type="dxa" w:w="100"/>
              <w:bottom w:type="dxa" w:w="60"/>
              <w:right w:type="dxa" w:w="100"/>
            </w:tcMar>
          </w:tcPr>
          <w:p>
            <w:pPr>
              <w:spacing w:after="0"/>
            </w:pPr>
            <w:r>
              <w:rPr>
                <w:rFonts w:ascii="Calibri" w:cs="Calibri" w:eastAsia="Calibri" w:hAnsi="Calibri"/>
                <w:sz w:val="18"/>
                <w:szCs w:val="18"/>
              </w:rPr>
              <w:t xml:space="preserve">Sociedades o asociaciones con vínculos patrimoniales (denominación, RFC, % de participación)</w:t>
            </w:r>
          </w:p>
        </w:tc>
        <w:tc>
          <w:tcPr>
            <w:tcW w:type="dxa" w:w="5300"/>
            <w:tcMar>
              <w:top w:type="dxa" w:w="60"/>
              <w:left w:type="dxa" w:w="100"/>
              <w:bottom w:type="dxa" w:w="60"/>
              <w:right w:type="dxa" w:w="100"/>
            </w:tcMar>
          </w:tcPr>
          <w:p>
            <w:pPr>
              <w:spacing w:after="0"/>
            </w:pPr>
            <w:r>
              <w:rPr>
                <w:rFonts w:ascii="Calibri" w:cs="Calibri" w:eastAsia="Calibri" w:hAnsi="Calibri"/>
                <w:sz w:val="18"/>
                <w:szCs w:val="18"/>
              </w:rPr>
              <w:t xml:space="preserve"/>
            </w:r>
          </w:p>
        </w:tc>
      </w:tr>
      <w:tr>
        <w:trPr>
          <w:cantSplit/>
        </w:trPr>
        <w:tc>
          <w:tcPr>
            <w:tcW w:type="dxa" w:w="4200"/>
            <w:tcMar>
              <w:top w:type="dxa" w:w="60"/>
              <w:left w:type="dxa" w:w="100"/>
              <w:bottom w:type="dxa" w:w="60"/>
              <w:right w:type="dxa" w:w="100"/>
            </w:tcMar>
          </w:tcPr>
          <w:p>
            <w:pPr>
              <w:spacing w:after="0"/>
            </w:pPr>
            <w:r>
              <w:rPr>
                <w:rFonts w:ascii="Calibri" w:cs="Calibri" w:eastAsia="Calibri" w:hAnsi="Calibri"/>
                <w:sz w:val="18"/>
                <w:szCs w:val="18"/>
              </w:rPr>
              <w:t xml:space="preserve">Personas morales: principales accionistas o socios y Beneficiario Controlador (nombre, % de participación)</w:t>
            </w:r>
          </w:p>
        </w:tc>
        <w:tc>
          <w:tcPr>
            <w:tcW w:type="dxa" w:w="5300"/>
            <w:tcMar>
              <w:top w:type="dxa" w:w="60"/>
              <w:left w:type="dxa" w:w="100"/>
              <w:bottom w:type="dxa" w:w="60"/>
              <w:right w:type="dxa" w:w="100"/>
            </w:tcMar>
          </w:tcPr>
          <w:p>
            <w:pPr>
              <w:spacing w:after="0"/>
            </w:pPr>
            <w:r>
              <w:rPr>
                <w:rFonts w:ascii="Calibri" w:cs="Calibri" w:eastAsia="Calibri" w:hAnsi="Calibri"/>
                <w:sz w:val="18"/>
                <w:szCs w:val="18"/>
              </w:rPr>
              <w:t xml:space="preserve"/>
            </w:r>
          </w:p>
        </w:tc>
      </w:tr>
      <w:tr>
        <w:trPr>
          <w:cantSplit/>
        </w:trPr>
        <w:tc>
          <w:tcPr>
            <w:tcW w:type="dxa" w:w="4200"/>
            <w:tcMar>
              <w:top w:type="dxa" w:w="60"/>
              <w:left w:type="dxa" w:w="100"/>
              <w:bottom w:type="dxa" w:w="60"/>
              <w:right w:type="dxa" w:w="100"/>
            </w:tcMar>
          </w:tcPr>
          <w:p>
            <w:pPr>
              <w:spacing w:after="0"/>
            </w:pPr>
            <w:r>
              <w:rPr>
                <w:rFonts w:ascii="Calibri" w:cs="Calibri" w:eastAsia="Calibri" w:hAnsi="Calibri"/>
                <w:sz w:val="18"/>
                <w:szCs w:val="18"/>
              </w:rPr>
              <w:t xml:space="preserve">¿Es o ha sido PEP, o es cónyuge, pariente hasta el segundo grado o socio de una PEP? Cargo y periodo</w:t>
            </w:r>
          </w:p>
        </w:tc>
        <w:tc>
          <w:tcPr>
            <w:tcW w:type="dxa" w:w="5300"/>
            <w:tcMar>
              <w:top w:type="dxa" w:w="60"/>
              <w:left w:type="dxa" w:w="100"/>
              <w:bottom w:type="dxa" w:w="60"/>
              <w:right w:type="dxa" w:w="100"/>
            </w:tcMar>
          </w:tcPr>
          <w:p>
            <w:pPr>
              <w:spacing w:after="0"/>
            </w:pPr>
            <w:r>
              <w:rPr>
                <w:rFonts w:ascii="Calibri" w:cs="Calibri" w:eastAsia="Calibri" w:hAnsi="Calibri"/>
                <w:sz w:val="18"/>
                <w:szCs w:val="18"/>
              </w:rPr>
              <w:t xml:space="preserve"/>
            </w:r>
          </w:p>
        </w:tc>
      </w:tr>
      <w:tr>
        <w:trPr>
          <w:cantSplit/>
        </w:trPr>
        <w:tc>
          <w:tcPr>
            <w:tcW w:type="dxa" w:w="4200"/>
            <w:tcMar>
              <w:top w:type="dxa" w:w="60"/>
              <w:left w:type="dxa" w:w="100"/>
              <w:bottom w:type="dxa" w:w="60"/>
              <w:right w:type="dxa" w:w="100"/>
            </w:tcMar>
          </w:tcPr>
          <w:p>
            <w:pPr>
              <w:spacing w:after="0"/>
            </w:pPr>
            <w:r>
              <w:rPr>
                <w:rFonts w:ascii="Calibri" w:cs="Calibri" w:eastAsia="Calibri" w:hAnsi="Calibri"/>
                <w:sz w:val="18"/>
                <w:szCs w:val="18"/>
              </w:rPr>
              <w:t xml:space="preserve">No residentes: razones para realizar el acto u operación en México</w:t>
            </w:r>
          </w:p>
        </w:tc>
        <w:tc>
          <w:tcPr>
            <w:tcW w:type="dxa" w:w="5300"/>
            <w:tcMar>
              <w:top w:type="dxa" w:w="60"/>
              <w:left w:type="dxa" w:w="100"/>
              <w:bottom w:type="dxa" w:w="60"/>
              <w:right w:type="dxa" w:w="100"/>
            </w:tcMar>
          </w:tcPr>
          <w:p>
            <w:pPr>
              <w:spacing w:after="0"/>
            </w:pPr>
            <w:r>
              <w:rPr>
                <w:rFonts w:ascii="Calibri" w:cs="Calibri" w:eastAsia="Calibri" w:hAnsi="Calibri"/>
                <w:sz w:val="18"/>
                <w:szCs w:val="18"/>
              </w:rPr>
              <w:t xml:space="preserve"/>
            </w:r>
          </w:p>
        </w:tc>
      </w:tr>
      <w:tr>
        <w:trPr>
          <w:cantSplit/>
        </w:trPr>
        <w:tc>
          <w:tcPr>
            <w:tcW w:type="dxa" w:w="4200"/>
            <w:tcMar>
              <w:top w:type="dxa" w:w="60"/>
              <w:left w:type="dxa" w:w="100"/>
              <w:bottom w:type="dxa" w:w="60"/>
              <w:right w:type="dxa" w:w="100"/>
            </w:tcMar>
          </w:tcPr>
          <w:p>
            <w:pPr>
              <w:spacing w:after="0"/>
            </w:pPr>
            <w:r>
              <w:rPr>
                <w:rFonts w:ascii="Calibri" w:cs="Calibri" w:eastAsia="Calibri" w:hAnsi="Calibri"/>
                <w:sz w:val="18"/>
                <w:szCs w:val="18"/>
              </w:rPr>
              <w:t xml:space="preserve">Declaro bajo protesta de decir verdad que la información es correcta y que los recursos son de procedencia lícita. Firma autógrafa o Firma Electrónica y fecha</w:t>
            </w:r>
          </w:p>
        </w:tc>
        <w:tc>
          <w:tcPr>
            <w:tcW w:type="dxa" w:w="5300"/>
            <w:tcMar>
              <w:top w:type="dxa" w:w="60"/>
              <w:left w:type="dxa" w:w="100"/>
              <w:bottom w:type="dxa" w:w="60"/>
              <w:right w:type="dxa" w:w="100"/>
            </w:tcMar>
          </w:tcPr>
          <w:p>
            <w:pPr>
              <w:spacing w:after="0"/>
            </w:pPr>
            <w:r>
              <w:rPr>
                <w:rFonts w:ascii="Calibri" w:cs="Calibri" w:eastAsia="Calibri" w:hAnsi="Calibri"/>
                <w:sz w:val="18"/>
                <w:szCs w:val="18"/>
              </w:rPr>
              <w:t xml:space="preserve"/>
            </w:r>
          </w:p>
        </w:tc>
      </w:tr>
      <w:tr>
        <w:trPr>
          <w:cantSplit/>
        </w:trPr>
        <w:tc>
          <w:tcPr>
            <w:tcW w:type="dxa" w:w="4200"/>
            <w:tcMar>
              <w:top w:type="dxa" w:w="60"/>
              <w:left w:type="dxa" w:w="100"/>
              <w:bottom w:type="dxa" w:w="60"/>
              <w:right w:type="dxa" w:w="100"/>
            </w:tcMar>
          </w:tcPr>
          <w:p>
            <w:pPr>
              <w:spacing w:after="0"/>
            </w:pPr>
            <w:r>
              <w:rPr>
                <w:rFonts w:ascii="Calibri" w:cs="Calibri" w:eastAsia="Calibri" w:hAnsi="Calibri"/>
                <w:sz w:val="18"/>
                <w:szCs w:val="18"/>
              </w:rPr>
              <w:t xml:space="preserve">Revisó (nombre, firma y fecha) y conclusión: [ ] Se acepta  [ ] Se acepta con medidas adicionales  [ ] No se acepta</w:t>
            </w:r>
          </w:p>
        </w:tc>
        <w:tc>
          <w:tcPr>
            <w:tcW w:type="dxa" w:w="5300"/>
            <w:tcMar>
              <w:top w:type="dxa" w:w="60"/>
              <w:left w:type="dxa" w:w="100"/>
              <w:bottom w:type="dxa" w:w="60"/>
              <w:right w:type="dxa" w:w="100"/>
            </w:tcMar>
          </w:tcPr>
          <w:p>
            <w:pPr>
              <w:spacing w:after="0"/>
            </w:pPr>
            <w:r>
              <w:rPr>
                <w:rFonts w:ascii="Calibri" w:cs="Calibri" w:eastAsia="Calibri" w:hAnsi="Calibri"/>
                <w:sz w:val="18"/>
                <w:szCs w:val="18"/>
              </w:rPr>
              <w:t xml:space="preserve"/>
            </w:r>
          </w:p>
        </w:tc>
      </w:tr>
    </w:tbl>
    <w:p>
      <w:pPr>
        <w:spacing w:after="80"/>
      </w:pPr>
    </w:p>
    <w:p>
      <w:pPr>
        <w:keepNext/>
        <w:pageBreakBefore/>
        <w:shd w:fill="1F3864" w:val="clear"/>
        <w:spacing w:after="100" w:before="220"/>
      </w:pPr>
      <w:r>
        <w:rPr>
          <w:rFonts w:ascii="Calibri" w:cs="Calibri" w:eastAsia="Calibri" w:hAnsi="Calibri"/>
          <w:b/>
          <w:bCs/>
          <w:color w:val="FFFFFF"/>
          <w:sz w:val="22"/>
          <w:szCs w:val="22"/>
        </w:rPr>
        <w:t xml:space="preserve">Anexo C. Descripción Operativa</w:t>
      </w:r>
    </w:p>
    <w:p>
      <w:pPr>
        <w:spacing w:after="110"/>
      </w:pPr>
      <w:r>
        <w:rPr>
          <w:rFonts w:ascii="Calibri" w:cs="Calibri" w:eastAsia="Calibri" w:hAnsi="Calibri"/>
          <w:i/>
          <w:iCs/>
          <w:color w:val="666666"/>
          <w:sz w:val="19"/>
          <w:szCs w:val="19"/>
        </w:rPr>
        <w:t xml:space="preserve">Se llena antes de adoptar el Manual y se actualiza cada vez que cambie la operación. Lo firma el Profesional Titular o, en el despacho, el Representante de Cumplimiento. Su objeto es que este Manual refleje la forma en que el profesional o despacho realmente opera.</w:t>
      </w:r>
    </w:p>
    <w:tbl>
      <w:tblPr>
        <w:tblW w:type="dxa" w:w="9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00"/>
        <w:gridCol w:w="5300"/>
      </w:tblGrid>
      <w:tr>
        <w:trPr>
          <w:tblHeader/>
        </w:trPr>
        <w:tc>
          <w:tcPr>
            <w:tcW w:type="dxa" w:w="4200"/>
            <w:shd w:fill="1F3864"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Concepto</w:t>
            </w:r>
          </w:p>
        </w:tc>
        <w:tc>
          <w:tcPr>
            <w:tcW w:type="dxa" w:w="5300"/>
            <w:shd w:fill="1F3864"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Descripción</w:t>
            </w:r>
          </w:p>
        </w:tc>
      </w:tr>
      <w:tr>
        <w:trPr>
          <w:cantSplit/>
        </w:trPr>
        <w:tc>
          <w:tcPr>
            <w:tcW w:type="dxa" w:w="4200"/>
            <w:tcMar>
              <w:top w:type="dxa" w:w="60"/>
              <w:left w:type="dxa" w:w="100"/>
              <w:bottom w:type="dxa" w:w="60"/>
              <w:right w:type="dxa" w:w="100"/>
            </w:tcMar>
          </w:tcPr>
          <w:p>
            <w:pPr>
              <w:spacing w:after="0"/>
            </w:pPr>
            <w:r>
              <w:rPr>
                <w:rFonts w:ascii="Calibri" w:cs="Calibri" w:eastAsia="Calibri" w:hAnsi="Calibri"/>
                <w:sz w:val="18"/>
                <w:szCs w:val="18"/>
              </w:rPr>
              <w:t xml:space="preserve">Actividades que se realizan (fracciones o incisos del Art. 17)</w:t>
            </w:r>
          </w:p>
        </w:tc>
        <w:tc>
          <w:tcPr>
            <w:tcW w:type="dxa" w:w="5300"/>
            <w:tcMar>
              <w:top w:type="dxa" w:w="60"/>
              <w:left w:type="dxa" w:w="100"/>
              <w:bottom w:type="dxa" w:w="60"/>
              <w:right w:type="dxa" w:w="100"/>
            </w:tcMar>
          </w:tcPr>
          <w:p>
            <w:pPr>
              <w:spacing w:after="0"/>
            </w:pPr>
            <w:r>
              <w:rPr>
                <w:rFonts w:ascii="Calibri" w:cs="Calibri" w:eastAsia="Calibri" w:hAnsi="Calibri"/>
                <w:sz w:val="18"/>
                <w:szCs w:val="18"/>
              </w:rPr>
              <w:t xml:space="preserve"/>
            </w:r>
          </w:p>
        </w:tc>
      </w:tr>
      <w:tr>
        <w:trPr>
          <w:cantSplit/>
        </w:trPr>
        <w:tc>
          <w:tcPr>
            <w:tcW w:type="dxa" w:w="4200"/>
            <w:tcMar>
              <w:top w:type="dxa" w:w="60"/>
              <w:left w:type="dxa" w:w="100"/>
              <w:bottom w:type="dxa" w:w="60"/>
              <w:right w:type="dxa" w:w="100"/>
            </w:tcMar>
          </w:tcPr>
          <w:p>
            <w:pPr>
              <w:spacing w:after="0"/>
            </w:pPr>
            <w:r>
              <w:rPr>
                <w:rFonts w:ascii="Calibri" w:cs="Calibri" w:eastAsia="Calibri" w:hAnsi="Calibri"/>
                <w:sz w:val="18"/>
                <w:szCs w:val="18"/>
              </w:rPr>
              <w:t xml:space="preserve">Oficinas, sucursales o plazas donde se opera</w:t>
            </w:r>
          </w:p>
        </w:tc>
        <w:tc>
          <w:tcPr>
            <w:tcW w:type="dxa" w:w="5300"/>
            <w:tcMar>
              <w:top w:type="dxa" w:w="60"/>
              <w:left w:type="dxa" w:w="100"/>
              <w:bottom w:type="dxa" w:w="60"/>
              <w:right w:type="dxa" w:w="100"/>
            </w:tcMar>
          </w:tcPr>
          <w:p>
            <w:pPr>
              <w:spacing w:after="0"/>
            </w:pPr>
            <w:r>
              <w:rPr>
                <w:rFonts w:ascii="Calibri" w:cs="Calibri" w:eastAsia="Calibri" w:hAnsi="Calibri"/>
                <w:sz w:val="18"/>
                <w:szCs w:val="18"/>
              </w:rPr>
              <w:t xml:space="preserve"/>
            </w:r>
          </w:p>
        </w:tc>
      </w:tr>
      <w:tr>
        <w:trPr>
          <w:cantSplit/>
        </w:trPr>
        <w:tc>
          <w:tcPr>
            <w:tcW w:type="dxa" w:w="4200"/>
            <w:tcMar>
              <w:top w:type="dxa" w:w="60"/>
              <w:left w:type="dxa" w:w="100"/>
              <w:bottom w:type="dxa" w:w="60"/>
              <w:right w:type="dxa" w:w="100"/>
            </w:tcMar>
          </w:tcPr>
          <w:p>
            <w:pPr>
              <w:spacing w:after="0"/>
            </w:pPr>
            <w:r>
              <w:rPr>
                <w:rFonts w:ascii="Calibri" w:cs="Calibri" w:eastAsia="Calibri" w:hAnsi="Calibri"/>
                <w:sz w:val="18"/>
                <w:szCs w:val="18"/>
              </w:rPr>
              <w:t xml:space="preserve">Áreas que intervienen y número de personas en cada una</w:t>
            </w:r>
          </w:p>
        </w:tc>
        <w:tc>
          <w:tcPr>
            <w:tcW w:type="dxa" w:w="5300"/>
            <w:tcMar>
              <w:top w:type="dxa" w:w="60"/>
              <w:left w:type="dxa" w:w="100"/>
              <w:bottom w:type="dxa" w:w="60"/>
              <w:right w:type="dxa" w:w="100"/>
            </w:tcMar>
          </w:tcPr>
          <w:p>
            <w:pPr>
              <w:spacing w:after="0"/>
            </w:pPr>
            <w:r>
              <w:rPr>
                <w:rFonts w:ascii="Calibri" w:cs="Calibri" w:eastAsia="Calibri" w:hAnsi="Calibri"/>
                <w:sz w:val="18"/>
                <w:szCs w:val="18"/>
              </w:rPr>
              <w:t xml:space="preserve"/>
            </w:r>
          </w:p>
        </w:tc>
      </w:tr>
      <w:tr>
        <w:trPr>
          <w:cantSplit/>
        </w:trPr>
        <w:tc>
          <w:tcPr>
            <w:tcW w:type="dxa" w:w="4200"/>
            <w:tcMar>
              <w:top w:type="dxa" w:w="60"/>
              <w:left w:type="dxa" w:w="100"/>
              <w:bottom w:type="dxa" w:w="60"/>
              <w:right w:type="dxa" w:w="100"/>
            </w:tcMar>
          </w:tcPr>
          <w:p>
            <w:pPr>
              <w:spacing w:after="0"/>
            </w:pPr>
            <w:r>
              <w:rPr>
                <w:rFonts w:ascii="Calibri" w:cs="Calibri" w:eastAsia="Calibri" w:hAnsi="Calibri"/>
                <w:sz w:val="18"/>
                <w:szCs w:val="18"/>
              </w:rPr>
              <w:t xml:space="preserve">Canales de captación y de formalización (presencial, intermediarios, medios electrónicos)</w:t>
            </w:r>
          </w:p>
        </w:tc>
        <w:tc>
          <w:tcPr>
            <w:tcW w:type="dxa" w:w="5300"/>
            <w:tcMar>
              <w:top w:type="dxa" w:w="60"/>
              <w:left w:type="dxa" w:w="100"/>
              <w:bottom w:type="dxa" w:w="60"/>
              <w:right w:type="dxa" w:w="100"/>
            </w:tcMar>
          </w:tcPr>
          <w:p>
            <w:pPr>
              <w:spacing w:after="0"/>
            </w:pPr>
            <w:r>
              <w:rPr>
                <w:rFonts w:ascii="Calibri" w:cs="Calibri" w:eastAsia="Calibri" w:hAnsi="Calibri"/>
                <w:sz w:val="18"/>
                <w:szCs w:val="18"/>
              </w:rPr>
              <w:t xml:space="preserve"/>
            </w:r>
          </w:p>
        </w:tc>
      </w:tr>
      <w:tr>
        <w:trPr>
          <w:cantSplit/>
        </w:trPr>
        <w:tc>
          <w:tcPr>
            <w:tcW w:type="dxa" w:w="4200"/>
            <w:tcMar>
              <w:top w:type="dxa" w:w="60"/>
              <w:left w:type="dxa" w:w="100"/>
              <w:bottom w:type="dxa" w:w="60"/>
              <w:right w:type="dxa" w:w="100"/>
            </w:tcMar>
          </w:tcPr>
          <w:p>
            <w:pPr>
              <w:spacing w:after="0"/>
            </w:pPr>
            <w:r>
              <w:rPr>
                <w:rFonts w:ascii="Calibri" w:cs="Calibri" w:eastAsia="Calibri" w:hAnsi="Calibri"/>
                <w:sz w:val="18"/>
                <w:szCs w:val="18"/>
              </w:rPr>
              <w:t xml:space="preserve">Volumen anual aproximado: clientes, actos u operaciones y monto</w:t>
            </w:r>
          </w:p>
        </w:tc>
        <w:tc>
          <w:tcPr>
            <w:tcW w:type="dxa" w:w="5300"/>
            <w:tcMar>
              <w:top w:type="dxa" w:w="60"/>
              <w:left w:type="dxa" w:w="100"/>
              <w:bottom w:type="dxa" w:w="60"/>
              <w:right w:type="dxa" w:w="100"/>
            </w:tcMar>
          </w:tcPr>
          <w:p>
            <w:pPr>
              <w:spacing w:after="0"/>
            </w:pPr>
            <w:r>
              <w:rPr>
                <w:rFonts w:ascii="Calibri" w:cs="Calibri" w:eastAsia="Calibri" w:hAnsi="Calibri"/>
                <w:sz w:val="18"/>
                <w:szCs w:val="18"/>
              </w:rPr>
              <w:t xml:space="preserve"/>
            </w:r>
          </w:p>
        </w:tc>
      </w:tr>
      <w:tr>
        <w:trPr>
          <w:cantSplit/>
        </w:trPr>
        <w:tc>
          <w:tcPr>
            <w:tcW w:type="dxa" w:w="4200"/>
            <w:tcMar>
              <w:top w:type="dxa" w:w="60"/>
              <w:left w:type="dxa" w:w="100"/>
              <w:bottom w:type="dxa" w:w="60"/>
              <w:right w:type="dxa" w:w="100"/>
            </w:tcMar>
          </w:tcPr>
          <w:p>
            <w:pPr>
              <w:spacing w:after="0"/>
            </w:pPr>
            <w:r>
              <w:rPr>
                <w:rFonts w:ascii="Calibri" w:cs="Calibri" w:eastAsia="Calibri" w:hAnsi="Calibri"/>
                <w:sz w:val="18"/>
                <w:szCs w:val="18"/>
              </w:rPr>
              <w:t xml:space="preserve">Formas de pago que se aceptan</w:t>
            </w:r>
          </w:p>
        </w:tc>
        <w:tc>
          <w:tcPr>
            <w:tcW w:type="dxa" w:w="5300"/>
            <w:tcMar>
              <w:top w:type="dxa" w:w="60"/>
              <w:left w:type="dxa" w:w="100"/>
              <w:bottom w:type="dxa" w:w="60"/>
              <w:right w:type="dxa" w:w="100"/>
            </w:tcMar>
          </w:tcPr>
          <w:p>
            <w:pPr>
              <w:spacing w:after="0"/>
            </w:pPr>
            <w:r>
              <w:rPr>
                <w:rFonts w:ascii="Calibri" w:cs="Calibri" w:eastAsia="Calibri" w:hAnsi="Calibri"/>
                <w:sz w:val="18"/>
                <w:szCs w:val="18"/>
              </w:rPr>
              <w:t xml:space="preserve"/>
            </w:r>
          </w:p>
        </w:tc>
      </w:tr>
      <w:tr>
        <w:trPr>
          <w:cantSplit/>
        </w:trPr>
        <w:tc>
          <w:tcPr>
            <w:tcW w:type="dxa" w:w="4200"/>
            <w:tcMar>
              <w:top w:type="dxa" w:w="60"/>
              <w:left w:type="dxa" w:w="100"/>
              <w:bottom w:type="dxa" w:w="60"/>
              <w:right w:type="dxa" w:w="100"/>
            </w:tcMar>
          </w:tcPr>
          <w:p>
            <w:pPr>
              <w:spacing w:after="0"/>
            </w:pPr>
            <w:r>
              <w:rPr>
                <w:rFonts w:ascii="Calibri" w:cs="Calibri" w:eastAsia="Calibri" w:hAnsi="Calibri"/>
                <w:sz w:val="18"/>
                <w:szCs w:val="18"/>
              </w:rPr>
              <w:t xml:space="preserve">Sistemas o herramientas para expedientes, alertas y control de Avisos</w:t>
            </w:r>
          </w:p>
        </w:tc>
        <w:tc>
          <w:tcPr>
            <w:tcW w:type="dxa" w:w="5300"/>
            <w:tcMar>
              <w:top w:type="dxa" w:w="60"/>
              <w:left w:type="dxa" w:w="100"/>
              <w:bottom w:type="dxa" w:w="60"/>
              <w:right w:type="dxa" w:w="100"/>
            </w:tcMar>
          </w:tcPr>
          <w:p>
            <w:pPr>
              <w:spacing w:after="0"/>
            </w:pPr>
            <w:r>
              <w:rPr>
                <w:rFonts w:ascii="Calibri" w:cs="Calibri" w:eastAsia="Calibri" w:hAnsi="Calibri"/>
                <w:sz w:val="18"/>
                <w:szCs w:val="18"/>
              </w:rPr>
              <w:t xml:space="preserve"/>
            </w:r>
          </w:p>
        </w:tc>
      </w:tr>
      <w:tr>
        <w:trPr>
          <w:cantSplit/>
        </w:trPr>
        <w:tc>
          <w:tcPr>
            <w:tcW w:type="dxa" w:w="4200"/>
            <w:tcMar>
              <w:top w:type="dxa" w:w="60"/>
              <w:left w:type="dxa" w:w="100"/>
              <w:bottom w:type="dxa" w:w="60"/>
              <w:right w:type="dxa" w:w="100"/>
            </w:tcMar>
          </w:tcPr>
          <w:p>
            <w:pPr>
              <w:spacing w:after="0"/>
            </w:pPr>
            <w:r>
              <w:rPr>
                <w:rFonts w:ascii="Calibri" w:cs="Calibri" w:eastAsia="Calibri" w:hAnsi="Calibri"/>
                <w:sz w:val="18"/>
                <w:szCs w:val="18"/>
              </w:rPr>
              <w:t xml:space="preserve">Responsable del cumplimiento, suplente y personas autorizadas para acceder a expedientes</w:t>
            </w:r>
          </w:p>
        </w:tc>
        <w:tc>
          <w:tcPr>
            <w:tcW w:type="dxa" w:w="5300"/>
            <w:tcMar>
              <w:top w:type="dxa" w:w="60"/>
              <w:left w:type="dxa" w:w="100"/>
              <w:bottom w:type="dxa" w:w="60"/>
              <w:right w:type="dxa" w:w="100"/>
            </w:tcMar>
          </w:tcPr>
          <w:p>
            <w:pPr>
              <w:spacing w:after="0"/>
            </w:pPr>
            <w:r>
              <w:rPr>
                <w:rFonts w:ascii="Calibri" w:cs="Calibri" w:eastAsia="Calibri" w:hAnsi="Calibri"/>
                <w:sz w:val="18"/>
                <w:szCs w:val="18"/>
              </w:rPr>
              <w:t xml:space="preserve"/>
            </w:r>
          </w:p>
        </w:tc>
      </w:tr>
      <w:tr>
        <w:trPr>
          <w:cantSplit/>
        </w:trPr>
        <w:tc>
          <w:tcPr>
            <w:tcW w:type="dxa" w:w="4200"/>
            <w:tcMar>
              <w:top w:type="dxa" w:w="60"/>
              <w:left w:type="dxa" w:w="100"/>
              <w:bottom w:type="dxa" w:w="60"/>
              <w:right w:type="dxa" w:w="100"/>
            </w:tcMar>
          </w:tcPr>
          <w:p>
            <w:pPr>
              <w:spacing w:after="0"/>
            </w:pPr>
            <w:r>
              <w:rPr>
                <w:rFonts w:ascii="Calibri" w:cs="Calibri" w:eastAsia="Calibri" w:hAnsi="Calibri"/>
                <w:sz w:val="18"/>
                <w:szCs w:val="18"/>
              </w:rPr>
              <w:t xml:space="preserve">Flujo del acto u operación: 1) captación → 2) identificación y expediente → 3) clasificación de Riesgo y consulta de listas/PEP → 4) verificación previa → 5) formalización y recepción de recursos → 6) Aviso o informe y resguardo (responsable de cada paso)</w:t>
            </w:r>
          </w:p>
        </w:tc>
        <w:tc>
          <w:tcPr>
            <w:tcW w:type="dxa" w:w="5300"/>
            <w:tcMar>
              <w:top w:type="dxa" w:w="60"/>
              <w:left w:type="dxa" w:w="100"/>
              <w:bottom w:type="dxa" w:w="60"/>
              <w:right w:type="dxa" w:w="100"/>
            </w:tcMar>
          </w:tcPr>
          <w:p>
            <w:pPr>
              <w:spacing w:after="0"/>
            </w:pPr>
            <w:r>
              <w:rPr>
                <w:rFonts w:ascii="Calibri" w:cs="Calibri" w:eastAsia="Calibri" w:hAnsi="Calibri"/>
                <w:sz w:val="18"/>
                <w:szCs w:val="18"/>
              </w:rPr>
              <w:t xml:space="preserve"/>
            </w:r>
          </w:p>
        </w:tc>
      </w:tr>
    </w:tbl>
    <w:p>
      <w:pPr>
        <w:spacing w:after="80"/>
      </w:pPr>
    </w:p>
    <w:p>
      <w:pPr>
        <w:keepNext/>
        <w:pageBreakBefore/>
        <w:shd w:fill="1F3864" w:val="clear"/>
        <w:spacing w:after="100" w:before="220"/>
      </w:pPr>
      <w:r>
        <w:rPr>
          <w:rFonts w:ascii="Calibri" w:cs="Calibri" w:eastAsia="Calibri" w:hAnsi="Calibri"/>
          <w:b/>
          <w:bCs/>
          <w:color w:val="FFFFFF"/>
          <w:sz w:val="22"/>
          <w:szCs w:val="22"/>
        </w:rPr>
        <w:t xml:space="preserve">Anexo D. Control de versiones y acuse de difusión</w:t>
      </w:r>
    </w:p>
    <w:tbl>
      <w:tblPr>
        <w:tblW w:type="dxa" w:w="9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1900"/>
        <w:gridCol w:w="4100"/>
        <w:gridCol w:w="2200"/>
      </w:tblGrid>
      <w:tr>
        <w:trPr>
          <w:tblHeader/>
        </w:trPr>
        <w:tc>
          <w:tcPr>
            <w:tcW w:type="dxa" w:w="1300"/>
            <w:shd w:fill="1F3864"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Versión</w:t>
            </w:r>
          </w:p>
        </w:tc>
        <w:tc>
          <w:tcPr>
            <w:tcW w:type="dxa" w:w="1900"/>
            <w:shd w:fill="1F3864"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Fecha de aprobación</w:t>
            </w:r>
          </w:p>
        </w:tc>
        <w:tc>
          <w:tcPr>
            <w:tcW w:type="dxa" w:w="4100"/>
            <w:shd w:fill="1F3864"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Cambios</w:t>
            </w:r>
          </w:p>
        </w:tc>
        <w:tc>
          <w:tcPr>
            <w:tcW w:type="dxa" w:w="2200"/>
            <w:shd w:fill="1F3864"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Aprobó</w:t>
            </w:r>
          </w:p>
        </w:tc>
      </w:tr>
      <w:tr>
        <w:trPr>
          <w:cantSplit/>
        </w:trPr>
        <w:tc>
          <w:tcPr>
            <w:tcW w:type="dxa" w:w="1300"/>
            <w:tcMar>
              <w:top w:type="dxa" w:w="60"/>
              <w:left w:type="dxa" w:w="100"/>
              <w:bottom w:type="dxa" w:w="60"/>
              <w:right w:type="dxa" w:w="100"/>
            </w:tcMar>
          </w:tcPr>
          <w:p>
            <w:pPr>
              <w:spacing w:after="0"/>
            </w:pPr>
            <w:r>
              <w:rPr>
                <w:rFonts w:ascii="Calibri" w:cs="Calibri" w:eastAsia="Calibri" w:hAnsi="Calibri"/>
                <w:sz w:val="18"/>
                <w:szCs w:val="18"/>
              </w:rPr>
              <w:t xml:space="preserve">[VERSION]</w:t>
            </w:r>
          </w:p>
        </w:tc>
        <w:tc>
          <w:tcPr>
            <w:tcW w:type="dxa" w:w="1900"/>
            <w:tcMar>
              <w:top w:type="dxa" w:w="60"/>
              <w:left w:type="dxa" w:w="100"/>
              <w:bottom w:type="dxa" w:w="60"/>
              <w:right w:type="dxa" w:w="100"/>
            </w:tcMar>
          </w:tcPr>
          <w:p>
            <w:pPr>
              <w:spacing w:after="0"/>
            </w:pPr>
            <w:r>
              <w:rPr>
                <w:rFonts w:ascii="Calibri" w:cs="Calibri" w:eastAsia="Calibri" w:hAnsi="Calibri"/>
                <w:sz w:val="18"/>
                <w:szCs w:val="18"/>
              </w:rPr>
              <w:t xml:space="preserve">[Fecha de adopción]</w:t>
            </w:r>
          </w:p>
        </w:tc>
        <w:tc>
          <w:tcPr>
            <w:tcW w:type="dxa" w:w="4100"/>
            <w:tcMar>
              <w:top w:type="dxa" w:w="60"/>
              <w:left w:type="dxa" w:w="100"/>
              <w:bottom w:type="dxa" w:w="60"/>
              <w:right w:type="dxa" w:w="100"/>
            </w:tcMar>
          </w:tcPr>
          <w:p>
            <w:pPr>
              <w:spacing w:after="0"/>
            </w:pPr>
            <w:r>
              <w:rPr>
                <w:rFonts w:ascii="Calibri" w:cs="Calibri" w:eastAsia="Calibri" w:hAnsi="Calibri"/>
                <w:sz w:val="18"/>
                <w:szCs w:val="18"/>
              </w:rPr>
              <w:t xml:space="preserve">Adopción inicial — plantilla Certus PLD, edición octubre 2026 (Acuerdo 115/2026; Capítulo X RCG)</w:t>
            </w:r>
          </w:p>
        </w:tc>
        <w:tc>
          <w:tcPr>
            <w:tcW w:type="dxa" w:w="2200"/>
            <w:tcMar>
              <w:top w:type="dxa" w:w="60"/>
              <w:left w:type="dxa" w:w="100"/>
              <w:bottom w:type="dxa" w:w="60"/>
              <w:right w:type="dxa" w:w="100"/>
            </w:tcMar>
          </w:tcPr>
          <w:p>
            <w:pPr>
              <w:spacing w:after="0"/>
            </w:pPr>
            <w:r>
              <w:rPr>
                <w:rFonts w:ascii="Calibri" w:cs="Calibri" w:eastAsia="Calibri" w:hAnsi="Calibri"/>
                <w:sz w:val="18"/>
                <w:szCs w:val="18"/>
              </w:rPr>
              <w:t xml:space="preserve"/>
            </w:r>
          </w:p>
        </w:tc>
      </w:tr>
      <w:tr>
        <w:trPr>
          <w:cantSplit/>
        </w:trPr>
        <w:tc>
          <w:tcPr>
            <w:tcW w:type="dxa" w:w="1300"/>
            <w:tcMar>
              <w:top w:type="dxa" w:w="60"/>
              <w:left w:type="dxa" w:w="100"/>
              <w:bottom w:type="dxa" w:w="60"/>
              <w:right w:type="dxa" w:w="100"/>
            </w:tcMar>
          </w:tcPr>
          <w:p>
            <w:pPr>
              <w:spacing w:after="0"/>
            </w:pPr>
            <w:r>
              <w:rPr>
                <w:rFonts w:ascii="Calibri" w:cs="Calibri" w:eastAsia="Calibri" w:hAnsi="Calibri"/>
                <w:sz w:val="18"/>
                <w:szCs w:val="18"/>
              </w:rPr>
              <w:t xml:space="preserve"/>
            </w:r>
          </w:p>
        </w:tc>
        <w:tc>
          <w:tcPr>
            <w:tcW w:type="dxa" w:w="1900"/>
            <w:tcMar>
              <w:top w:type="dxa" w:w="60"/>
              <w:left w:type="dxa" w:w="100"/>
              <w:bottom w:type="dxa" w:w="60"/>
              <w:right w:type="dxa" w:w="100"/>
            </w:tcMar>
          </w:tcPr>
          <w:p>
            <w:pPr>
              <w:spacing w:after="0"/>
            </w:pPr>
            <w:r>
              <w:rPr>
                <w:rFonts w:ascii="Calibri" w:cs="Calibri" w:eastAsia="Calibri" w:hAnsi="Calibri"/>
                <w:sz w:val="18"/>
                <w:szCs w:val="18"/>
              </w:rPr>
              <w:t xml:space="preserve"/>
            </w:r>
          </w:p>
        </w:tc>
        <w:tc>
          <w:tcPr>
            <w:tcW w:type="dxa" w:w="4100"/>
            <w:tcMar>
              <w:top w:type="dxa" w:w="60"/>
              <w:left w:type="dxa" w:w="100"/>
              <w:bottom w:type="dxa" w:w="60"/>
              <w:right w:type="dxa" w:w="100"/>
            </w:tcMar>
          </w:tcPr>
          <w:p>
            <w:pPr>
              <w:spacing w:after="0"/>
            </w:pPr>
            <w:r>
              <w:rPr>
                <w:rFonts w:ascii="Calibri" w:cs="Calibri" w:eastAsia="Calibri" w:hAnsi="Calibri"/>
                <w:sz w:val="18"/>
                <w:szCs w:val="18"/>
              </w:rPr>
              <w:t xml:space="preserve"/>
            </w:r>
          </w:p>
        </w:tc>
        <w:tc>
          <w:tcPr>
            <w:tcW w:type="dxa" w:w="2200"/>
            <w:tcMar>
              <w:top w:type="dxa" w:w="60"/>
              <w:left w:type="dxa" w:w="100"/>
              <w:bottom w:type="dxa" w:w="60"/>
              <w:right w:type="dxa" w:w="100"/>
            </w:tcMar>
          </w:tcPr>
          <w:p>
            <w:pPr>
              <w:spacing w:after="0"/>
            </w:pPr>
            <w:r>
              <w:rPr>
                <w:rFonts w:ascii="Calibri" w:cs="Calibri" w:eastAsia="Calibri" w:hAnsi="Calibri"/>
                <w:sz w:val="18"/>
                <w:szCs w:val="18"/>
              </w:rPr>
              <w:t xml:space="preserve"/>
            </w:r>
          </w:p>
        </w:tc>
      </w:tr>
      <w:tr>
        <w:trPr>
          <w:cantSplit/>
        </w:trPr>
        <w:tc>
          <w:tcPr>
            <w:tcW w:type="dxa" w:w="1300"/>
            <w:tcMar>
              <w:top w:type="dxa" w:w="60"/>
              <w:left w:type="dxa" w:w="100"/>
              <w:bottom w:type="dxa" w:w="60"/>
              <w:right w:type="dxa" w:w="100"/>
            </w:tcMar>
          </w:tcPr>
          <w:p>
            <w:pPr>
              <w:spacing w:after="0"/>
            </w:pPr>
            <w:r>
              <w:rPr>
                <w:rFonts w:ascii="Calibri" w:cs="Calibri" w:eastAsia="Calibri" w:hAnsi="Calibri"/>
                <w:sz w:val="18"/>
                <w:szCs w:val="18"/>
              </w:rPr>
              <w:t xml:space="preserve"/>
            </w:r>
          </w:p>
        </w:tc>
        <w:tc>
          <w:tcPr>
            <w:tcW w:type="dxa" w:w="1900"/>
            <w:tcMar>
              <w:top w:type="dxa" w:w="60"/>
              <w:left w:type="dxa" w:w="100"/>
              <w:bottom w:type="dxa" w:w="60"/>
              <w:right w:type="dxa" w:w="100"/>
            </w:tcMar>
          </w:tcPr>
          <w:p>
            <w:pPr>
              <w:spacing w:after="0"/>
            </w:pPr>
            <w:r>
              <w:rPr>
                <w:rFonts w:ascii="Calibri" w:cs="Calibri" w:eastAsia="Calibri" w:hAnsi="Calibri"/>
                <w:sz w:val="18"/>
                <w:szCs w:val="18"/>
              </w:rPr>
              <w:t xml:space="preserve"/>
            </w:r>
          </w:p>
        </w:tc>
        <w:tc>
          <w:tcPr>
            <w:tcW w:type="dxa" w:w="4100"/>
            <w:tcMar>
              <w:top w:type="dxa" w:w="60"/>
              <w:left w:type="dxa" w:w="100"/>
              <w:bottom w:type="dxa" w:w="60"/>
              <w:right w:type="dxa" w:w="100"/>
            </w:tcMar>
          </w:tcPr>
          <w:p>
            <w:pPr>
              <w:spacing w:after="0"/>
            </w:pPr>
            <w:r>
              <w:rPr>
                <w:rFonts w:ascii="Calibri" w:cs="Calibri" w:eastAsia="Calibri" w:hAnsi="Calibri"/>
                <w:sz w:val="18"/>
                <w:szCs w:val="18"/>
              </w:rPr>
              <w:t xml:space="preserve"/>
            </w:r>
          </w:p>
        </w:tc>
        <w:tc>
          <w:tcPr>
            <w:tcW w:type="dxa" w:w="2200"/>
            <w:tcMar>
              <w:top w:type="dxa" w:w="60"/>
              <w:left w:type="dxa" w:w="100"/>
              <w:bottom w:type="dxa" w:w="60"/>
              <w:right w:type="dxa" w:w="100"/>
            </w:tcMar>
          </w:tcPr>
          <w:p>
            <w:pPr>
              <w:spacing w:after="0"/>
            </w:pPr>
            <w:r>
              <w:rPr>
                <w:rFonts w:ascii="Calibri" w:cs="Calibri" w:eastAsia="Calibri" w:hAnsi="Calibri"/>
                <w:sz w:val="18"/>
                <w:szCs w:val="18"/>
              </w:rPr>
              <w:t xml:space="preserve"/>
            </w:r>
          </w:p>
        </w:tc>
      </w:tr>
    </w:tbl>
    <w:p>
      <w:pPr>
        <w:spacing w:after="80"/>
      </w:pPr>
    </w:p>
    <w:p>
      <w:pPr>
        <w:spacing w:after="110"/>
      </w:pPr>
      <w:r>
        <w:rPr>
          <w:rFonts w:ascii="Calibri" w:cs="Calibri" w:eastAsia="Calibri" w:hAnsi="Calibri"/>
          <w:sz w:val="20"/>
          <w:szCs w:val="20"/>
        </w:rPr>
        <w:t xml:space="preserve">Acuse de recepción y lectura. Las personas abajo firmantes recibimos la versión vigente de este Manual, la leímos y nos comprometemos a cumplirla:</w:t>
      </w:r>
    </w:p>
    <w:tbl>
      <w:tblPr>
        <w:tblW w:type="dxa" w:w="9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2600"/>
        <w:gridCol w:w="1600"/>
        <w:gridCol w:w="2000"/>
      </w:tblGrid>
      <w:tr>
        <w:trPr>
          <w:tblHeader/>
        </w:trPr>
        <w:tc>
          <w:tcPr>
            <w:tcW w:type="dxa" w:w="3300"/>
            <w:shd w:fill="1F3864"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Nombre completo</w:t>
            </w:r>
          </w:p>
        </w:tc>
        <w:tc>
          <w:tcPr>
            <w:tcW w:type="dxa" w:w="2600"/>
            <w:shd w:fill="1F3864"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Puesto</w:t>
            </w:r>
          </w:p>
        </w:tc>
        <w:tc>
          <w:tcPr>
            <w:tcW w:type="dxa" w:w="1600"/>
            <w:shd w:fill="1F3864"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Fecha</w:t>
            </w:r>
          </w:p>
        </w:tc>
        <w:tc>
          <w:tcPr>
            <w:tcW w:type="dxa" w:w="2000"/>
            <w:shd w:fill="1F3864"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Firma</w:t>
            </w:r>
          </w:p>
        </w:tc>
      </w:tr>
      <w:tr>
        <w:trPr>
          <w:cantSplit/>
        </w:trPr>
        <w:tc>
          <w:tcPr>
            <w:tcW w:type="dxa" w:w="3300"/>
            <w:tcMar>
              <w:top w:type="dxa" w:w="60"/>
              <w:left w:type="dxa" w:w="100"/>
              <w:bottom w:type="dxa" w:w="60"/>
              <w:right w:type="dxa" w:w="100"/>
            </w:tcMar>
          </w:tcPr>
          <w:p>
            <w:pPr>
              <w:spacing w:after="0"/>
            </w:pPr>
            <w:r>
              <w:rPr>
                <w:rFonts w:ascii="Calibri" w:cs="Calibri" w:eastAsia="Calibri" w:hAnsi="Calibri"/>
                <w:sz w:val="18"/>
                <w:szCs w:val="18"/>
              </w:rPr>
              <w:t xml:space="preserve"/>
            </w:r>
          </w:p>
        </w:tc>
        <w:tc>
          <w:tcPr>
            <w:tcW w:type="dxa" w:w="2600"/>
            <w:tcMar>
              <w:top w:type="dxa" w:w="60"/>
              <w:left w:type="dxa" w:w="100"/>
              <w:bottom w:type="dxa" w:w="60"/>
              <w:right w:type="dxa" w:w="100"/>
            </w:tcMar>
          </w:tcPr>
          <w:p>
            <w:pPr>
              <w:spacing w:after="0"/>
            </w:pPr>
            <w:r>
              <w:rPr>
                <w:rFonts w:ascii="Calibri" w:cs="Calibri" w:eastAsia="Calibri" w:hAnsi="Calibri"/>
                <w:sz w:val="18"/>
                <w:szCs w:val="18"/>
              </w:rPr>
              <w:t xml:space="preserve"/>
            </w:r>
          </w:p>
        </w:tc>
        <w:tc>
          <w:tcPr>
            <w:tcW w:type="dxa" w:w="1600"/>
            <w:tcMar>
              <w:top w:type="dxa" w:w="60"/>
              <w:left w:type="dxa" w:w="100"/>
              <w:bottom w:type="dxa" w:w="60"/>
              <w:right w:type="dxa" w:w="100"/>
            </w:tcMar>
          </w:tcPr>
          <w:p>
            <w:pPr>
              <w:spacing w:after="0"/>
            </w:pPr>
            <w:r>
              <w:rPr>
                <w:rFonts w:ascii="Calibri" w:cs="Calibri" w:eastAsia="Calibri" w:hAnsi="Calibri"/>
                <w:sz w:val="18"/>
                <w:szCs w:val="18"/>
              </w:rPr>
              <w:t xml:space="preserve"/>
            </w:r>
          </w:p>
        </w:tc>
        <w:tc>
          <w:tcPr>
            <w:tcW w:type="dxa" w:w="2000"/>
            <w:tcMar>
              <w:top w:type="dxa" w:w="60"/>
              <w:left w:type="dxa" w:w="100"/>
              <w:bottom w:type="dxa" w:w="60"/>
              <w:right w:type="dxa" w:w="100"/>
            </w:tcMar>
          </w:tcPr>
          <w:p>
            <w:pPr>
              <w:spacing w:after="0"/>
            </w:pPr>
            <w:r>
              <w:rPr>
                <w:rFonts w:ascii="Calibri" w:cs="Calibri" w:eastAsia="Calibri" w:hAnsi="Calibri"/>
                <w:sz w:val="18"/>
                <w:szCs w:val="18"/>
              </w:rPr>
              <w:t xml:space="preserve"/>
            </w:r>
          </w:p>
        </w:tc>
      </w:tr>
      <w:tr>
        <w:trPr>
          <w:cantSplit/>
        </w:trPr>
        <w:tc>
          <w:tcPr>
            <w:tcW w:type="dxa" w:w="3300"/>
            <w:tcMar>
              <w:top w:type="dxa" w:w="60"/>
              <w:left w:type="dxa" w:w="100"/>
              <w:bottom w:type="dxa" w:w="60"/>
              <w:right w:type="dxa" w:w="100"/>
            </w:tcMar>
          </w:tcPr>
          <w:p>
            <w:pPr>
              <w:spacing w:after="0"/>
            </w:pPr>
            <w:r>
              <w:rPr>
                <w:rFonts w:ascii="Calibri" w:cs="Calibri" w:eastAsia="Calibri" w:hAnsi="Calibri"/>
                <w:sz w:val="18"/>
                <w:szCs w:val="18"/>
              </w:rPr>
              <w:t xml:space="preserve"/>
            </w:r>
          </w:p>
        </w:tc>
        <w:tc>
          <w:tcPr>
            <w:tcW w:type="dxa" w:w="2600"/>
            <w:tcMar>
              <w:top w:type="dxa" w:w="60"/>
              <w:left w:type="dxa" w:w="100"/>
              <w:bottom w:type="dxa" w:w="60"/>
              <w:right w:type="dxa" w:w="100"/>
            </w:tcMar>
          </w:tcPr>
          <w:p>
            <w:pPr>
              <w:spacing w:after="0"/>
            </w:pPr>
            <w:r>
              <w:rPr>
                <w:rFonts w:ascii="Calibri" w:cs="Calibri" w:eastAsia="Calibri" w:hAnsi="Calibri"/>
                <w:sz w:val="18"/>
                <w:szCs w:val="18"/>
              </w:rPr>
              <w:t xml:space="preserve"/>
            </w:r>
          </w:p>
        </w:tc>
        <w:tc>
          <w:tcPr>
            <w:tcW w:type="dxa" w:w="1600"/>
            <w:tcMar>
              <w:top w:type="dxa" w:w="60"/>
              <w:left w:type="dxa" w:w="100"/>
              <w:bottom w:type="dxa" w:w="60"/>
              <w:right w:type="dxa" w:w="100"/>
            </w:tcMar>
          </w:tcPr>
          <w:p>
            <w:pPr>
              <w:spacing w:after="0"/>
            </w:pPr>
            <w:r>
              <w:rPr>
                <w:rFonts w:ascii="Calibri" w:cs="Calibri" w:eastAsia="Calibri" w:hAnsi="Calibri"/>
                <w:sz w:val="18"/>
                <w:szCs w:val="18"/>
              </w:rPr>
              <w:t xml:space="preserve"/>
            </w:r>
          </w:p>
        </w:tc>
        <w:tc>
          <w:tcPr>
            <w:tcW w:type="dxa" w:w="2000"/>
            <w:tcMar>
              <w:top w:type="dxa" w:w="60"/>
              <w:left w:type="dxa" w:w="100"/>
              <w:bottom w:type="dxa" w:w="60"/>
              <w:right w:type="dxa" w:w="100"/>
            </w:tcMar>
          </w:tcPr>
          <w:p>
            <w:pPr>
              <w:spacing w:after="0"/>
            </w:pPr>
            <w:r>
              <w:rPr>
                <w:rFonts w:ascii="Calibri" w:cs="Calibri" w:eastAsia="Calibri" w:hAnsi="Calibri"/>
                <w:sz w:val="18"/>
                <w:szCs w:val="18"/>
              </w:rPr>
              <w:t xml:space="preserve"/>
            </w:r>
          </w:p>
        </w:tc>
      </w:tr>
      <w:tr>
        <w:trPr>
          <w:cantSplit/>
        </w:trPr>
        <w:tc>
          <w:tcPr>
            <w:tcW w:type="dxa" w:w="3300"/>
            <w:tcMar>
              <w:top w:type="dxa" w:w="60"/>
              <w:left w:type="dxa" w:w="100"/>
              <w:bottom w:type="dxa" w:w="60"/>
              <w:right w:type="dxa" w:w="100"/>
            </w:tcMar>
          </w:tcPr>
          <w:p>
            <w:pPr>
              <w:spacing w:after="0"/>
            </w:pPr>
            <w:r>
              <w:rPr>
                <w:rFonts w:ascii="Calibri" w:cs="Calibri" w:eastAsia="Calibri" w:hAnsi="Calibri"/>
                <w:sz w:val="18"/>
                <w:szCs w:val="18"/>
              </w:rPr>
              <w:t xml:space="preserve"/>
            </w:r>
          </w:p>
        </w:tc>
        <w:tc>
          <w:tcPr>
            <w:tcW w:type="dxa" w:w="2600"/>
            <w:tcMar>
              <w:top w:type="dxa" w:w="60"/>
              <w:left w:type="dxa" w:w="100"/>
              <w:bottom w:type="dxa" w:w="60"/>
              <w:right w:type="dxa" w:w="100"/>
            </w:tcMar>
          </w:tcPr>
          <w:p>
            <w:pPr>
              <w:spacing w:after="0"/>
            </w:pPr>
            <w:r>
              <w:rPr>
                <w:rFonts w:ascii="Calibri" w:cs="Calibri" w:eastAsia="Calibri" w:hAnsi="Calibri"/>
                <w:sz w:val="18"/>
                <w:szCs w:val="18"/>
              </w:rPr>
              <w:t xml:space="preserve"/>
            </w:r>
          </w:p>
        </w:tc>
        <w:tc>
          <w:tcPr>
            <w:tcW w:type="dxa" w:w="1600"/>
            <w:tcMar>
              <w:top w:type="dxa" w:w="60"/>
              <w:left w:type="dxa" w:w="100"/>
              <w:bottom w:type="dxa" w:w="60"/>
              <w:right w:type="dxa" w:w="100"/>
            </w:tcMar>
          </w:tcPr>
          <w:p>
            <w:pPr>
              <w:spacing w:after="0"/>
            </w:pPr>
            <w:r>
              <w:rPr>
                <w:rFonts w:ascii="Calibri" w:cs="Calibri" w:eastAsia="Calibri" w:hAnsi="Calibri"/>
                <w:sz w:val="18"/>
                <w:szCs w:val="18"/>
              </w:rPr>
              <w:t xml:space="preserve"/>
            </w:r>
          </w:p>
        </w:tc>
        <w:tc>
          <w:tcPr>
            <w:tcW w:type="dxa" w:w="2000"/>
            <w:tcMar>
              <w:top w:type="dxa" w:w="60"/>
              <w:left w:type="dxa" w:w="100"/>
              <w:bottom w:type="dxa" w:w="60"/>
              <w:right w:type="dxa" w:w="100"/>
            </w:tcMar>
          </w:tcPr>
          <w:p>
            <w:pPr>
              <w:spacing w:after="0"/>
            </w:pPr>
            <w:r>
              <w:rPr>
                <w:rFonts w:ascii="Calibri" w:cs="Calibri" w:eastAsia="Calibri" w:hAnsi="Calibri"/>
                <w:sz w:val="18"/>
                <w:szCs w:val="18"/>
              </w:rPr>
              <w:t xml:space="preserve"/>
            </w:r>
          </w:p>
        </w:tc>
      </w:tr>
      <w:tr>
        <w:trPr>
          <w:cantSplit/>
        </w:trPr>
        <w:tc>
          <w:tcPr>
            <w:tcW w:type="dxa" w:w="3300"/>
            <w:tcMar>
              <w:top w:type="dxa" w:w="60"/>
              <w:left w:type="dxa" w:w="100"/>
              <w:bottom w:type="dxa" w:w="60"/>
              <w:right w:type="dxa" w:w="100"/>
            </w:tcMar>
          </w:tcPr>
          <w:p>
            <w:pPr>
              <w:spacing w:after="0"/>
            </w:pPr>
            <w:r>
              <w:rPr>
                <w:rFonts w:ascii="Calibri" w:cs="Calibri" w:eastAsia="Calibri" w:hAnsi="Calibri"/>
                <w:sz w:val="18"/>
                <w:szCs w:val="18"/>
              </w:rPr>
              <w:t xml:space="preserve"/>
            </w:r>
          </w:p>
        </w:tc>
        <w:tc>
          <w:tcPr>
            <w:tcW w:type="dxa" w:w="2600"/>
            <w:tcMar>
              <w:top w:type="dxa" w:w="60"/>
              <w:left w:type="dxa" w:w="100"/>
              <w:bottom w:type="dxa" w:w="60"/>
              <w:right w:type="dxa" w:w="100"/>
            </w:tcMar>
          </w:tcPr>
          <w:p>
            <w:pPr>
              <w:spacing w:after="0"/>
            </w:pPr>
            <w:r>
              <w:rPr>
                <w:rFonts w:ascii="Calibri" w:cs="Calibri" w:eastAsia="Calibri" w:hAnsi="Calibri"/>
                <w:sz w:val="18"/>
                <w:szCs w:val="18"/>
              </w:rPr>
              <w:t xml:space="preserve"/>
            </w:r>
          </w:p>
        </w:tc>
        <w:tc>
          <w:tcPr>
            <w:tcW w:type="dxa" w:w="1600"/>
            <w:tcMar>
              <w:top w:type="dxa" w:w="60"/>
              <w:left w:type="dxa" w:w="100"/>
              <w:bottom w:type="dxa" w:w="60"/>
              <w:right w:type="dxa" w:w="100"/>
            </w:tcMar>
          </w:tcPr>
          <w:p>
            <w:pPr>
              <w:spacing w:after="0"/>
            </w:pPr>
            <w:r>
              <w:rPr>
                <w:rFonts w:ascii="Calibri" w:cs="Calibri" w:eastAsia="Calibri" w:hAnsi="Calibri"/>
                <w:sz w:val="18"/>
                <w:szCs w:val="18"/>
              </w:rPr>
              <w:t xml:space="preserve"/>
            </w:r>
          </w:p>
        </w:tc>
        <w:tc>
          <w:tcPr>
            <w:tcW w:type="dxa" w:w="2000"/>
            <w:tcMar>
              <w:top w:type="dxa" w:w="60"/>
              <w:left w:type="dxa" w:w="100"/>
              <w:bottom w:type="dxa" w:w="60"/>
              <w:right w:type="dxa" w:w="100"/>
            </w:tcMar>
          </w:tcPr>
          <w:p>
            <w:pPr>
              <w:spacing w:after="0"/>
            </w:pPr>
            <w:r>
              <w:rPr>
                <w:rFonts w:ascii="Calibri" w:cs="Calibri" w:eastAsia="Calibri" w:hAnsi="Calibri"/>
                <w:sz w:val="18"/>
                <w:szCs w:val="18"/>
              </w:rPr>
              <w:t xml:space="preserve"/>
            </w:r>
          </w:p>
        </w:tc>
      </w:tr>
      <w:tr>
        <w:trPr>
          <w:cantSplit/>
        </w:trPr>
        <w:tc>
          <w:tcPr>
            <w:tcW w:type="dxa" w:w="3300"/>
            <w:tcMar>
              <w:top w:type="dxa" w:w="60"/>
              <w:left w:type="dxa" w:w="100"/>
              <w:bottom w:type="dxa" w:w="60"/>
              <w:right w:type="dxa" w:w="100"/>
            </w:tcMar>
          </w:tcPr>
          <w:p>
            <w:pPr>
              <w:spacing w:after="0"/>
            </w:pPr>
            <w:r>
              <w:rPr>
                <w:rFonts w:ascii="Calibri" w:cs="Calibri" w:eastAsia="Calibri" w:hAnsi="Calibri"/>
                <w:sz w:val="18"/>
                <w:szCs w:val="18"/>
              </w:rPr>
              <w:t xml:space="preserve"/>
            </w:r>
          </w:p>
        </w:tc>
        <w:tc>
          <w:tcPr>
            <w:tcW w:type="dxa" w:w="2600"/>
            <w:tcMar>
              <w:top w:type="dxa" w:w="60"/>
              <w:left w:type="dxa" w:w="100"/>
              <w:bottom w:type="dxa" w:w="60"/>
              <w:right w:type="dxa" w:w="100"/>
            </w:tcMar>
          </w:tcPr>
          <w:p>
            <w:pPr>
              <w:spacing w:after="0"/>
            </w:pPr>
            <w:r>
              <w:rPr>
                <w:rFonts w:ascii="Calibri" w:cs="Calibri" w:eastAsia="Calibri" w:hAnsi="Calibri"/>
                <w:sz w:val="18"/>
                <w:szCs w:val="18"/>
              </w:rPr>
              <w:t xml:space="preserve"/>
            </w:r>
          </w:p>
        </w:tc>
        <w:tc>
          <w:tcPr>
            <w:tcW w:type="dxa" w:w="1600"/>
            <w:tcMar>
              <w:top w:type="dxa" w:w="60"/>
              <w:left w:type="dxa" w:w="100"/>
              <w:bottom w:type="dxa" w:w="60"/>
              <w:right w:type="dxa" w:w="100"/>
            </w:tcMar>
          </w:tcPr>
          <w:p>
            <w:pPr>
              <w:spacing w:after="0"/>
            </w:pPr>
            <w:r>
              <w:rPr>
                <w:rFonts w:ascii="Calibri" w:cs="Calibri" w:eastAsia="Calibri" w:hAnsi="Calibri"/>
                <w:sz w:val="18"/>
                <w:szCs w:val="18"/>
              </w:rPr>
              <w:t xml:space="preserve"/>
            </w:r>
          </w:p>
        </w:tc>
        <w:tc>
          <w:tcPr>
            <w:tcW w:type="dxa" w:w="2000"/>
            <w:tcMar>
              <w:top w:type="dxa" w:w="60"/>
              <w:left w:type="dxa" w:w="100"/>
              <w:bottom w:type="dxa" w:w="60"/>
              <w:right w:type="dxa" w:w="100"/>
            </w:tcMar>
          </w:tcPr>
          <w:p>
            <w:pPr>
              <w:spacing w:after="0"/>
            </w:pPr>
            <w:r>
              <w:rPr>
                <w:rFonts w:ascii="Calibri" w:cs="Calibri" w:eastAsia="Calibri" w:hAnsi="Calibri"/>
                <w:sz w:val="18"/>
                <w:szCs w:val="18"/>
              </w:rPr>
              <w:t xml:space="preserve"/>
            </w:r>
          </w:p>
        </w:tc>
      </w:tr>
    </w:tbl>
    <w:p>
      <w:pPr>
        <w:spacing w:after="80"/>
      </w:pPr>
    </w:p>
    <w:p>
      <w:pPr>
        <w:spacing w:after="110"/>
      </w:pPr>
      <w:r>
        <w:rPr>
          <w:rFonts w:ascii="Calibri" w:cs="Calibri" w:eastAsia="Calibri" w:hAnsi="Calibri"/>
          <w:sz w:val="16"/>
          <w:szCs w:val="16"/>
        </w:rPr>
        <w:t xml:space="preserve">CERTUS CONSULTORES  |  Certus PLD  |  Mérida, Yucatán  |  999 163 1363</w:t>
      </w:r>
    </w:p>
    <w:sectPr>
      <w:pgSz w:w="12240" w:h="15840" w:orient="portrait"/>
      <w:pgMar w:top="700" w:right="900" w:bottom="7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2026-09-10T21:04:32.028Z</dcterms:created>
  <dcterms:modified xsi:type="dcterms:W3CDTF">2026-09-10T21:04:32.028Z</dcterms:modified>
</cp:coreProperties>
</file>

<file path=docProps/custom.xml><?xml version="1.0" encoding="utf-8"?>
<Properties xmlns="http://schemas.openxmlformats.org/officeDocument/2006/custom-properties" xmlns:vt="http://schemas.openxmlformats.org/officeDocument/2006/docPropsVTypes"/>
</file>