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CE9DD"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9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40" w:type="dxa"/>
              <w:left w:w="200" w:type="dxa"/>
              <w:bottom w:w="140" w:type="dxa"/>
              <w:right w:w="200" w:type="dxa"/>
            </w:tcMar>
          </w:tcPr>
          <w:p w14:paraId="673CE9DE" w14:textId="77777777" w:rsidR="00AC25C7" w:rsidRDefault="00FE3684">
            <w:pPr>
              <w:spacing w:after="60"/>
              <w:jc w:val="center"/>
            </w:pPr>
            <w:r>
              <w:rPr>
                <w:b/>
                <w:bCs/>
                <w:color w:val="C9A84C"/>
                <w:sz w:val="26"/>
                <w:szCs w:val="26"/>
              </w:rPr>
              <w:t>BIENVENIDA AL PROGRAMA CERTUS PLD</w:t>
            </w:r>
          </w:p>
          <w:p w14:paraId="673CE9DF" w14:textId="77777777" w:rsidR="00AC25C7" w:rsidRDefault="00FE3684">
            <w:pPr>
              <w:spacing w:after="40"/>
              <w:jc w:val="center"/>
            </w:pPr>
            <w:r>
              <w:rPr>
                <w:color w:val="FFFFFF"/>
                <w:sz w:val="17"/>
                <w:szCs w:val="17"/>
              </w:rPr>
              <w:t>Guía de implementación y estructura de auditorías</w:t>
            </w:r>
          </w:p>
          <w:p w14:paraId="673CE9E0" w14:textId="77777777" w:rsidR="00AC25C7" w:rsidRDefault="00FE3684">
            <w:pPr>
              <w:spacing w:after="80"/>
              <w:jc w:val="center"/>
            </w:pPr>
            <w:r>
              <w:rPr>
                <w:color w:val="C9A84C"/>
                <w:sz w:val="15"/>
                <w:szCs w:val="15"/>
              </w:rPr>
              <w:t>Para inmobiliarias, desarrolladoras y arrendadores</w:t>
            </w:r>
          </w:p>
        </w:tc>
      </w:tr>
    </w:tbl>
    <w:p w14:paraId="673CE9E2"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C25C7" w14:paraId="673CE9E4" w14:textId="77777777">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9E3" w14:textId="77777777" w:rsidR="00AC25C7" w:rsidRDefault="00FE3684">
            <w:pPr>
              <w:spacing w:after="80"/>
            </w:pPr>
            <w:r>
              <w:rPr>
                <w:b/>
                <w:bCs/>
                <w:color w:val="FFFFFF"/>
              </w:rPr>
              <w:t>INFORMACIÓN DEL PROGRAMA</w:t>
            </w:r>
          </w:p>
        </w:tc>
      </w:tr>
      <w:tr w:rsidR="00AC25C7" w14:paraId="673CE9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E5" w14:textId="77777777" w:rsidR="00AC25C7" w:rsidRDefault="00FE3684">
            <w:pPr>
              <w:spacing w:after="80"/>
            </w:pPr>
            <w:r>
              <w:rPr>
                <w:b/>
                <w:bCs/>
                <w:color w:val="1B2A4A"/>
                <w:sz w:val="17"/>
                <w:szCs w:val="17"/>
              </w:rPr>
              <w:t>Empresa</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E6" w14:textId="77777777" w:rsidR="00AC25C7" w:rsidRDefault="00FE3684">
            <w:pPr>
              <w:spacing w:after="80"/>
            </w:pPr>
            <w:r>
              <w:rPr>
                <w:color w:val="000000"/>
                <w:sz w:val="17"/>
                <w:szCs w:val="17"/>
              </w:rPr>
              <w:t>{{</w:t>
            </w:r>
            <w:proofErr w:type="spellStart"/>
            <w:r>
              <w:rPr>
                <w:color w:val="000000"/>
                <w:sz w:val="17"/>
                <w:szCs w:val="17"/>
              </w:rPr>
              <w:t>La_Empresa</w:t>
            </w:r>
            <w:proofErr w:type="spellEnd"/>
            <w:r>
              <w:rPr>
                <w:color w:val="000000"/>
                <w:sz w:val="17"/>
                <w:szCs w:val="17"/>
              </w:rPr>
              <w:t>}}</w:t>
            </w:r>
          </w:p>
        </w:tc>
      </w:tr>
      <w:tr w:rsidR="00AC25C7" w14:paraId="673CE9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E8" w14:textId="77777777" w:rsidR="00AC25C7" w:rsidRDefault="00FE3684">
            <w:pPr>
              <w:spacing w:after="80"/>
            </w:pPr>
            <w:r>
              <w:rPr>
                <w:b/>
                <w:bCs/>
                <w:color w:val="1B2A4A"/>
                <w:sz w:val="17"/>
                <w:szCs w:val="17"/>
              </w:rPr>
              <w:t>RFC</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E9" w14:textId="77777777" w:rsidR="00AC25C7" w:rsidRDefault="00FE3684">
            <w:pPr>
              <w:spacing w:after="80"/>
            </w:pPr>
            <w:r>
              <w:rPr>
                <w:color w:val="000000"/>
                <w:sz w:val="17"/>
                <w:szCs w:val="17"/>
              </w:rPr>
              <w:t>{{RFC}}</w:t>
            </w:r>
          </w:p>
        </w:tc>
      </w:tr>
      <w:tr w:rsidR="00AC25C7" w14:paraId="673CE9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EB" w14:textId="77777777" w:rsidR="00AC25C7" w:rsidRDefault="00FE3684">
            <w:pPr>
              <w:spacing w:after="80"/>
            </w:pPr>
            <w:r>
              <w:rPr>
                <w:b/>
                <w:bCs/>
                <w:color w:val="1B2A4A"/>
                <w:sz w:val="17"/>
                <w:szCs w:val="17"/>
              </w:rPr>
              <w:t>Representante de Cumplimiento</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EC" w14:textId="77777777" w:rsidR="00AC25C7" w:rsidRDefault="00FE3684">
            <w:pPr>
              <w:spacing w:after="80"/>
            </w:pPr>
            <w:r>
              <w:rPr>
                <w:color w:val="000000"/>
                <w:sz w:val="17"/>
                <w:szCs w:val="17"/>
              </w:rPr>
              <w:t>{{</w:t>
            </w:r>
            <w:proofErr w:type="spellStart"/>
            <w:r>
              <w:rPr>
                <w:color w:val="000000"/>
                <w:sz w:val="17"/>
                <w:szCs w:val="17"/>
              </w:rPr>
              <w:t>RC_Nombre</w:t>
            </w:r>
            <w:proofErr w:type="spellEnd"/>
            <w:r>
              <w:rPr>
                <w:color w:val="000000"/>
                <w:sz w:val="17"/>
                <w:szCs w:val="17"/>
              </w:rPr>
              <w:t>}}</w:t>
            </w:r>
          </w:p>
        </w:tc>
      </w:tr>
      <w:tr w:rsidR="00AC25C7" w14:paraId="673CE9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EE" w14:textId="77777777" w:rsidR="00AC25C7" w:rsidRDefault="00FE3684">
            <w:pPr>
              <w:spacing w:after="80"/>
            </w:pPr>
            <w:r>
              <w:rPr>
                <w:b/>
                <w:bCs/>
                <w:color w:val="1B2A4A"/>
                <w:sz w:val="17"/>
                <w:szCs w:val="17"/>
              </w:rPr>
              <w:t>Consultor Certus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EF" w14:textId="77777777" w:rsidR="00AC25C7" w:rsidRDefault="00FE3684">
            <w:pPr>
              <w:spacing w:after="80"/>
            </w:pPr>
            <w:r>
              <w:rPr>
                <w:color w:val="000000"/>
                <w:sz w:val="17"/>
                <w:szCs w:val="17"/>
              </w:rPr>
              <w:t xml:space="preserve">Jose Luis Naranjo Bobadilla — Bufete </w:t>
            </w:r>
            <w:proofErr w:type="spellStart"/>
            <w:r>
              <w:rPr>
                <w:color w:val="000000"/>
                <w:sz w:val="17"/>
                <w:szCs w:val="17"/>
              </w:rPr>
              <w:t>Juridico</w:t>
            </w:r>
            <w:proofErr w:type="spellEnd"/>
          </w:p>
        </w:tc>
      </w:tr>
      <w:tr w:rsidR="00AC25C7" w14:paraId="673CE9F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F1" w14:textId="77777777" w:rsidR="00AC25C7" w:rsidRDefault="00FE3684">
            <w:pPr>
              <w:spacing w:after="80"/>
            </w:pPr>
            <w:r>
              <w:rPr>
                <w:b/>
                <w:bCs/>
                <w:color w:val="1B2A4A"/>
                <w:sz w:val="17"/>
                <w:szCs w:val="17"/>
              </w:rPr>
              <w:t>Fecha de inicio del programa</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F2" w14:textId="77777777" w:rsidR="00AC25C7" w:rsidRDefault="00FE3684">
            <w:pPr>
              <w:spacing w:after="80"/>
            </w:pPr>
            <w:r>
              <w:rPr>
                <w:color w:val="000000"/>
                <w:sz w:val="17"/>
                <w:szCs w:val="17"/>
              </w:rPr>
              <w:t>{{</w:t>
            </w:r>
            <w:proofErr w:type="spellStart"/>
            <w:r>
              <w:rPr>
                <w:color w:val="000000"/>
                <w:sz w:val="17"/>
                <w:szCs w:val="17"/>
              </w:rPr>
              <w:t>Fecha_Inicio_Programa</w:t>
            </w:r>
            <w:proofErr w:type="spellEnd"/>
            <w:r>
              <w:rPr>
                <w:color w:val="000000"/>
                <w:sz w:val="17"/>
                <w:szCs w:val="17"/>
              </w:rPr>
              <w:t>}}</w:t>
            </w:r>
          </w:p>
        </w:tc>
      </w:tr>
      <w:tr w:rsidR="00AC25C7" w14:paraId="673CE9F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F4" w14:textId="77777777" w:rsidR="00AC25C7" w:rsidRDefault="00FE3684">
            <w:pPr>
              <w:spacing w:after="80"/>
            </w:pPr>
            <w:r>
              <w:rPr>
                <w:b/>
                <w:bCs/>
                <w:color w:val="1B2A4A"/>
                <w:sz w:val="17"/>
                <w:szCs w:val="17"/>
              </w:rPr>
              <w:t>Fecha estimada de auditoría de cierre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vAlign w:val="center"/>
          </w:tcPr>
          <w:p w14:paraId="673CE9F5" w14:textId="77777777" w:rsidR="00AC25C7" w:rsidRDefault="00FE3684">
            <w:pPr>
              <w:spacing w:after="80"/>
            </w:pPr>
            <w:r>
              <w:rPr>
                <w:color w:val="000000"/>
                <w:sz w:val="17"/>
                <w:szCs w:val="17"/>
              </w:rPr>
              <w:t>{{</w:t>
            </w:r>
            <w:proofErr w:type="spellStart"/>
            <w:r>
              <w:rPr>
                <w:color w:val="000000"/>
                <w:sz w:val="17"/>
                <w:szCs w:val="17"/>
              </w:rPr>
              <w:t>Fecha_Cierre</w:t>
            </w:r>
            <w:proofErr w:type="spellEnd"/>
            <w:r>
              <w:rPr>
                <w:color w:val="000000"/>
                <w:sz w:val="17"/>
                <w:szCs w:val="17"/>
              </w:rPr>
              <w:t>}}</w:t>
            </w:r>
          </w:p>
        </w:tc>
      </w:tr>
      <w:tr w:rsidR="00AC25C7" w14:paraId="673CE9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F7" w14:textId="77777777" w:rsidR="00AC25C7" w:rsidRDefault="00FE3684">
            <w:pPr>
              <w:spacing w:after="80"/>
            </w:pPr>
            <w:r>
              <w:rPr>
                <w:b/>
                <w:bCs/>
                <w:color w:val="1B2A4A"/>
                <w:sz w:val="17"/>
                <w:szCs w:val="17"/>
              </w:rPr>
              <w:t>Contacto de soporte</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vAlign w:val="center"/>
          </w:tcPr>
          <w:p w14:paraId="673CE9F8" w14:textId="77777777" w:rsidR="00AC25C7" w:rsidRDefault="00FE3684">
            <w:pPr>
              <w:spacing w:after="80"/>
            </w:pPr>
            <w:proofErr w:type="gramStart"/>
            <w:r>
              <w:rPr>
                <w:color w:val="000000"/>
                <w:sz w:val="17"/>
                <w:szCs w:val="17"/>
              </w:rPr>
              <w:t>contacto@certusconsultores.com.mx  |</w:t>
            </w:r>
            <w:proofErr w:type="gramEnd"/>
            <w:r>
              <w:rPr>
                <w:color w:val="000000"/>
                <w:sz w:val="17"/>
                <w:szCs w:val="17"/>
              </w:rPr>
              <w:t xml:space="preserve">  999 163 1363</w:t>
            </w:r>
          </w:p>
        </w:tc>
      </w:tr>
    </w:tbl>
    <w:p w14:paraId="673CE9FA"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A0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673CE9FB" w14:textId="77777777" w:rsidR="00AC25C7" w:rsidRDefault="00FE3684">
            <w:pPr>
              <w:spacing w:after="100"/>
            </w:pPr>
            <w:r>
              <w:rPr>
                <w:b/>
                <w:bCs/>
                <w:color w:val="1B2A4A"/>
                <w:sz w:val="19"/>
                <w:szCs w:val="19"/>
              </w:rPr>
              <w:t>I.  LA REGULARIZACIÓN HISTÓRICA: SOLO UNA VEZ, AL INICIO</w:t>
            </w:r>
          </w:p>
          <w:p w14:paraId="673CE9FC" w14:textId="77777777" w:rsidR="00AC25C7" w:rsidRDefault="00FE3684">
            <w:pPr>
              <w:spacing w:after="100"/>
            </w:pPr>
            <w:r>
              <w:rPr>
                <w:color w:val="000000"/>
                <w:sz w:val="17"/>
                <w:szCs w:val="17"/>
              </w:rPr>
              <w:t>Durante la implementación del Programa Certus PLD, realizaremos una fase de regularización histórica única (Fase 0) que cubre todas las operaciones de su empresa desde junio de 2025 hasta el mes anterior a la auditoría de cierre.</w:t>
            </w:r>
          </w:p>
          <w:p w14:paraId="673CE9FD" w14:textId="77777777" w:rsidR="00AC25C7" w:rsidRDefault="00FE3684">
            <w:pPr>
              <w:spacing w:after="60"/>
            </w:pPr>
            <w:r>
              <w:rPr>
                <w:b/>
                <w:bCs/>
                <w:color w:val="1B2A4A"/>
                <w:sz w:val="18"/>
                <w:szCs w:val="18"/>
              </w:rPr>
              <w:t>¿Qué incluye esta regularización?</w:t>
            </w:r>
          </w:p>
          <w:p w14:paraId="673CE9FE" w14:textId="77777777" w:rsidR="00AC25C7" w:rsidRDefault="00FE3684">
            <w:pPr>
              <w:spacing w:after="40"/>
            </w:pPr>
            <w:r>
              <w:rPr>
                <w:color w:val="000000"/>
                <w:sz w:val="17"/>
                <w:szCs w:val="17"/>
              </w:rPr>
              <w:t>• Reconstrucción de expedientes KYC para todas las operaciones cerradas en ese período histórico</w:t>
            </w:r>
          </w:p>
          <w:p w14:paraId="673CE9FF" w14:textId="77777777" w:rsidR="00AC25C7" w:rsidRDefault="00FE3684">
            <w:pPr>
              <w:spacing w:after="40"/>
            </w:pPr>
            <w:r>
              <w:rPr>
                <w:color w:val="000000"/>
                <w:sz w:val="17"/>
                <w:szCs w:val="17"/>
              </w:rPr>
              <w:t>• Aplicación retroactiva de la metodología EBR (evaluación de riesgo) a cada cliente</w:t>
            </w:r>
          </w:p>
          <w:p w14:paraId="673CEA00" w14:textId="77777777" w:rsidR="00AC25C7" w:rsidRDefault="00FE3684">
            <w:pPr>
              <w:spacing w:after="40"/>
            </w:pPr>
            <w:r>
              <w:rPr>
                <w:color w:val="000000"/>
                <w:sz w:val="17"/>
                <w:szCs w:val="17"/>
              </w:rPr>
              <w:t>• Presentación de avisos extemporáneos al SAT para operaciones que no fueron reportadas originalmente</w:t>
            </w:r>
          </w:p>
          <w:p w14:paraId="673CEA01" w14:textId="77777777" w:rsidR="00AC25C7" w:rsidRDefault="00FE3684">
            <w:pPr>
              <w:spacing w:after="100"/>
            </w:pPr>
            <w:r>
              <w:rPr>
                <w:color w:val="000000"/>
                <w:sz w:val="17"/>
                <w:szCs w:val="17"/>
              </w:rPr>
              <w:t>• Obtención del beneficio de actuación espontánea (reducción de multas hasta 50% — Art. 47 Reglamento)</w:t>
            </w:r>
          </w:p>
          <w:p w14:paraId="673CEA02" w14:textId="77777777" w:rsidR="00AC25C7" w:rsidRDefault="00FE3684">
            <w:pPr>
              <w:spacing w:after="60"/>
            </w:pPr>
            <w:r>
              <w:rPr>
                <w:b/>
                <w:bCs/>
                <w:color w:val="1B2A4A"/>
                <w:sz w:val="18"/>
                <w:szCs w:val="18"/>
              </w:rPr>
              <w:t>¿Cuál es el resultado?</w:t>
            </w:r>
          </w:p>
          <w:p w14:paraId="673CEA03" w14:textId="77777777" w:rsidR="00AC25C7" w:rsidRDefault="00FE3684">
            <w:pPr>
              <w:spacing w:after="100"/>
            </w:pPr>
            <w:r>
              <w:rPr>
                <w:color w:val="000000"/>
                <w:sz w:val="17"/>
                <w:szCs w:val="17"/>
              </w:rPr>
              <w:t>Usted queda protegido legalmente. Si el SAT llega a revisar, tiene documentado que actuó de forma espontánea y voluntaria, lo que reduce significativamente el riesgo de sanciones. El Acta de Regularización Histórica (D0A) que emitimos es su defensa legal.</w:t>
            </w:r>
          </w:p>
          <w:p w14:paraId="673CEA04" w14:textId="77777777" w:rsidR="00AC25C7" w:rsidRDefault="00FE3684">
            <w:pPr>
              <w:spacing w:after="60"/>
            </w:pPr>
            <w:r>
              <w:rPr>
                <w:b/>
                <w:bCs/>
                <w:color w:val="1B2A4A"/>
                <w:sz w:val="18"/>
                <w:szCs w:val="18"/>
              </w:rPr>
              <w:t>¿Cuándo termina la regularización?</w:t>
            </w:r>
          </w:p>
          <w:p w14:paraId="673CEA05" w14:textId="77777777" w:rsidR="00AC25C7" w:rsidRDefault="00FE3684">
            <w:pPr>
              <w:spacing w:after="100"/>
            </w:pPr>
            <w:r>
              <w:rPr>
                <w:color w:val="000000"/>
                <w:sz w:val="17"/>
                <w:szCs w:val="17"/>
              </w:rPr>
              <w:t>Dos semanas antes de la auditoría de cierre. A partir de ese momento, su empresa opera bajo el Programa Certus PLD con controles plenos. La auditoría de cierre (Fase 5) verifica que todo está regularizado y funcionando correctamente.</w:t>
            </w:r>
          </w:p>
          <w:p w14:paraId="673CEA06" w14:textId="77777777" w:rsidR="00AC25C7" w:rsidRDefault="00FE3684">
            <w:pPr>
              <w:spacing w:after="80"/>
            </w:pPr>
            <w:r>
              <w:rPr>
                <w:b/>
                <w:bCs/>
                <w:color w:val="1B2A4A"/>
                <w:sz w:val="17"/>
                <w:szCs w:val="17"/>
              </w:rPr>
              <w:t>Punto clave: Esta fase de regularización ocurre UNA SOLA VEZ, al inicio del programa. No se repite en auditorías posteriores.</w:t>
            </w:r>
          </w:p>
        </w:tc>
      </w:tr>
    </w:tbl>
    <w:p w14:paraId="673CEA08"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3680"/>
        <w:gridCol w:w="3294"/>
        <w:gridCol w:w="632"/>
      </w:tblGrid>
      <w:tr w:rsidR="00AC25C7" w14:paraId="673CEA0A" w14:textId="77777777">
        <w:tblPrEx>
          <w:tblCellMar>
            <w:top w:w="0" w:type="dxa"/>
            <w:bottom w:w="0" w:type="dxa"/>
          </w:tblCellMar>
        </w:tblPrEx>
        <w:tc>
          <w:tcPr>
            <w:tcW w:w="9360" w:type="dxa"/>
            <w:gridSpan w:val="4"/>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A09" w14:textId="77777777" w:rsidR="00AC25C7" w:rsidRDefault="00FE3684">
            <w:pPr>
              <w:spacing w:after="80"/>
            </w:pPr>
            <w:r>
              <w:rPr>
                <w:b/>
                <w:bCs/>
                <w:color w:val="FFFFFF"/>
              </w:rPr>
              <w:t>II.  AUDITORÍA DE CIERRE (AHORA) VS. AUDITORÍAS ANUALES (DESPUÉS)</w:t>
            </w:r>
          </w:p>
        </w:tc>
      </w:tr>
      <w:tr w:rsidR="00AC25C7" w14:paraId="673CEA0E" w14:textId="77777777">
        <w:tblPrEx>
          <w:tblCellMar>
            <w:top w:w="0" w:type="dxa"/>
            <w:bottom w:w="0" w:type="dxa"/>
          </w:tblCellMar>
        </w:tblPrEx>
        <w:trPr>
          <w:gridAfter w:val="1"/>
          <w:wAfter w:w="720" w:type="dxa"/>
        </w:trPr>
        <w:tc>
          <w:tcPr>
            <w:tcW w:w="180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A0B" w14:textId="77777777" w:rsidR="00AC25C7" w:rsidRDefault="00FE3684">
            <w:pPr>
              <w:spacing w:after="80"/>
            </w:pPr>
            <w:r>
              <w:rPr>
                <w:b/>
                <w:bCs/>
                <w:color w:val="FFFFFF"/>
                <w:sz w:val="18"/>
                <w:szCs w:val="18"/>
              </w:rPr>
              <w:t>ASPECTO</w:t>
            </w:r>
          </w:p>
        </w:tc>
        <w:tc>
          <w:tcPr>
            <w:tcW w:w="400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A0C" w14:textId="77777777" w:rsidR="00AC25C7" w:rsidRDefault="00FE3684">
            <w:pPr>
              <w:spacing w:after="80"/>
            </w:pPr>
            <w:r>
              <w:rPr>
                <w:b/>
                <w:bCs/>
                <w:color w:val="FFFFFF"/>
                <w:sz w:val="18"/>
                <w:szCs w:val="18"/>
              </w:rPr>
              <w:t>AUDITORÍA DE CIERRE (Ahora — Fase 0 + Fase 5)</w:t>
            </w:r>
          </w:p>
        </w:tc>
        <w:tc>
          <w:tcPr>
            <w:tcW w:w="356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A0D" w14:textId="77777777" w:rsidR="00AC25C7" w:rsidRDefault="00FE3684">
            <w:pPr>
              <w:spacing w:after="80"/>
            </w:pPr>
            <w:r>
              <w:rPr>
                <w:b/>
                <w:bCs/>
                <w:color w:val="FFFFFF"/>
                <w:sz w:val="18"/>
                <w:szCs w:val="18"/>
              </w:rPr>
              <w:t>AUDITORÍAS ANUALES C3 (Después — Solo revisión)</w:t>
            </w:r>
          </w:p>
        </w:tc>
      </w:tr>
      <w:tr w:rsidR="00AC25C7" w14:paraId="673CEA12" w14:textId="77777777">
        <w:tblPrEx>
          <w:tblCellMar>
            <w:top w:w="0" w:type="dxa"/>
            <w:bottom w:w="0" w:type="dxa"/>
          </w:tblCellMar>
        </w:tblPrEx>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0F" w14:textId="77777777" w:rsidR="00AC25C7" w:rsidRDefault="00FE3684">
            <w:pPr>
              <w:spacing w:after="80"/>
            </w:pPr>
            <w:r>
              <w:rPr>
                <w:b/>
                <w:bCs/>
                <w:color w:val="1B2A4A"/>
                <w:sz w:val="16"/>
                <w:szCs w:val="16"/>
              </w:rPr>
              <w:t>Extensión</w:t>
            </w:r>
          </w:p>
        </w:tc>
        <w:tc>
          <w:tcPr>
            <w:tcW w:w="4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0" w14:textId="77777777" w:rsidR="00AC25C7" w:rsidRDefault="00FE3684">
            <w:pPr>
              <w:spacing w:after="80"/>
            </w:pPr>
            <w:r>
              <w:rPr>
                <w:color w:val="000000"/>
                <w:sz w:val="16"/>
                <w:szCs w:val="16"/>
              </w:rPr>
              <w:t>Completa — 90 días de implementación + 2 semanas de auditoría</w:t>
            </w:r>
          </w:p>
        </w:tc>
        <w:tc>
          <w:tcPr>
            <w:tcW w:w="35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1" w14:textId="77777777" w:rsidR="00AC25C7" w:rsidRDefault="00FE3684">
            <w:pPr>
              <w:spacing w:after="80"/>
            </w:pPr>
            <w:r>
              <w:rPr>
                <w:color w:val="000000"/>
                <w:sz w:val="16"/>
                <w:szCs w:val="16"/>
              </w:rPr>
              <w:t>Condensada — 5-7 días de auditoría</w:t>
            </w:r>
          </w:p>
        </w:tc>
      </w:tr>
      <w:tr w:rsidR="00AC25C7" w14:paraId="673CEA16" w14:textId="77777777">
        <w:tblPrEx>
          <w:tblCellMar>
            <w:top w:w="0" w:type="dxa"/>
            <w:bottom w:w="0" w:type="dxa"/>
          </w:tblCellMar>
        </w:tblPrEx>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3" w14:textId="77777777" w:rsidR="00AC25C7" w:rsidRDefault="00FE3684">
            <w:pPr>
              <w:spacing w:after="80"/>
            </w:pPr>
            <w:r>
              <w:rPr>
                <w:b/>
                <w:bCs/>
                <w:color w:val="1B2A4A"/>
                <w:sz w:val="16"/>
                <w:szCs w:val="16"/>
              </w:rPr>
              <w:lastRenderedPageBreak/>
              <w:t>Regularización histórica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4" w14:textId="77777777" w:rsidR="00AC25C7" w:rsidRDefault="00FE3684">
            <w:pPr>
              <w:spacing w:after="80"/>
            </w:pPr>
            <w:r>
              <w:rPr>
                <w:color w:val="000000"/>
                <w:sz w:val="16"/>
                <w:szCs w:val="16"/>
              </w:rPr>
              <w:t>SÍ — Fase 0 reconstruye todas las operaciones previas al programa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5" w14:textId="77777777" w:rsidR="00AC25C7" w:rsidRDefault="00FE3684">
            <w:pPr>
              <w:spacing w:after="80"/>
            </w:pPr>
            <w:r>
              <w:rPr>
                <w:color w:val="000000"/>
                <w:sz w:val="16"/>
                <w:szCs w:val="16"/>
              </w:rPr>
              <w:t>NO — Solo se revisan operaciones desde que el programa está operativo</w:t>
            </w:r>
          </w:p>
        </w:tc>
      </w:tr>
      <w:tr w:rsidR="00AC25C7" w14:paraId="673CEA1A" w14:textId="77777777">
        <w:tblPrEx>
          <w:tblCellMar>
            <w:top w:w="0" w:type="dxa"/>
            <w:bottom w:w="0" w:type="dxa"/>
          </w:tblCellMar>
        </w:tblPrEx>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7" w14:textId="77777777" w:rsidR="00AC25C7" w:rsidRDefault="00FE3684">
            <w:pPr>
              <w:spacing w:after="80"/>
            </w:pPr>
            <w:r>
              <w:rPr>
                <w:b/>
                <w:bCs/>
                <w:color w:val="1B2A4A"/>
                <w:sz w:val="16"/>
                <w:szCs w:val="16"/>
              </w:rPr>
              <w:t>Complejidad</w:t>
            </w:r>
          </w:p>
        </w:tc>
        <w:tc>
          <w:tcPr>
            <w:tcW w:w="4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8" w14:textId="77777777" w:rsidR="00AC25C7" w:rsidRDefault="00FE3684">
            <w:pPr>
              <w:spacing w:after="80"/>
            </w:pPr>
            <w:r>
              <w:rPr>
                <w:color w:val="000000"/>
                <w:sz w:val="16"/>
                <w:szCs w:val="16"/>
              </w:rPr>
              <w:t>Alta — documentación anterior puede estar incompleta</w:t>
            </w:r>
          </w:p>
        </w:tc>
        <w:tc>
          <w:tcPr>
            <w:tcW w:w="35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9" w14:textId="77777777" w:rsidR="00AC25C7" w:rsidRDefault="00FE3684">
            <w:pPr>
              <w:spacing w:after="80"/>
            </w:pPr>
            <w:r>
              <w:rPr>
                <w:color w:val="000000"/>
                <w:sz w:val="16"/>
                <w:szCs w:val="16"/>
              </w:rPr>
              <w:t>Baja — documentación es contemporánea y está en orden</w:t>
            </w:r>
          </w:p>
        </w:tc>
      </w:tr>
      <w:tr w:rsidR="00AC25C7" w14:paraId="673CEA1E" w14:textId="77777777">
        <w:tblPrEx>
          <w:tblCellMar>
            <w:top w:w="0" w:type="dxa"/>
            <w:bottom w:w="0" w:type="dxa"/>
          </w:tblCellMar>
        </w:tblPrEx>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B" w14:textId="77777777" w:rsidR="00AC25C7" w:rsidRDefault="00FE3684">
            <w:pPr>
              <w:spacing w:after="80"/>
            </w:pPr>
            <w:r>
              <w:rPr>
                <w:b/>
                <w:bCs/>
                <w:color w:val="1B2A4A"/>
                <w:sz w:val="16"/>
                <w:szCs w:val="16"/>
              </w:rPr>
              <w:t>Esfuerzo del cliente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C" w14:textId="77777777" w:rsidR="00AC25C7" w:rsidRDefault="00FE3684">
            <w:pPr>
              <w:spacing w:after="80"/>
            </w:pPr>
            <w:r>
              <w:rPr>
                <w:color w:val="000000"/>
                <w:sz w:val="16"/>
                <w:szCs w:val="16"/>
              </w:rPr>
              <w:t>Alto — el RC dedica tiempo a buscar documentación antigua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1D" w14:textId="77777777" w:rsidR="00AC25C7" w:rsidRDefault="00FE3684">
            <w:pPr>
              <w:spacing w:after="80"/>
            </w:pPr>
            <w:r>
              <w:rPr>
                <w:color w:val="000000"/>
                <w:sz w:val="16"/>
                <w:szCs w:val="16"/>
              </w:rPr>
              <w:t>Bajo — el RC solo documenta operaciones del periodo auditable</w:t>
            </w:r>
          </w:p>
        </w:tc>
      </w:tr>
      <w:tr w:rsidR="00AC25C7" w14:paraId="673CEA22" w14:textId="77777777">
        <w:tblPrEx>
          <w:tblCellMar>
            <w:top w:w="0" w:type="dxa"/>
            <w:bottom w:w="0" w:type="dxa"/>
          </w:tblCellMar>
        </w:tblPrEx>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1F" w14:textId="77777777" w:rsidR="00AC25C7" w:rsidRDefault="00FE3684">
            <w:pPr>
              <w:spacing w:after="80"/>
            </w:pPr>
            <w:r>
              <w:rPr>
                <w:b/>
                <w:bCs/>
                <w:color w:val="1B2A4A"/>
                <w:sz w:val="16"/>
                <w:szCs w:val="16"/>
              </w:rPr>
              <w:t>Riesgo de hallazgos</w:t>
            </w:r>
          </w:p>
        </w:tc>
        <w:tc>
          <w:tcPr>
            <w:tcW w:w="4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20" w14:textId="77777777" w:rsidR="00AC25C7" w:rsidRDefault="00FE3684">
            <w:pPr>
              <w:spacing w:after="80"/>
            </w:pPr>
            <w:r>
              <w:rPr>
                <w:color w:val="000000"/>
                <w:sz w:val="16"/>
                <w:szCs w:val="16"/>
              </w:rPr>
              <w:t>Moderado (por hallazgos históricos)</w:t>
            </w:r>
          </w:p>
        </w:tc>
        <w:tc>
          <w:tcPr>
            <w:tcW w:w="35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21" w14:textId="77777777" w:rsidR="00AC25C7" w:rsidRDefault="00FE3684">
            <w:pPr>
              <w:spacing w:after="80"/>
            </w:pPr>
            <w:r>
              <w:rPr>
                <w:color w:val="000000"/>
                <w:sz w:val="16"/>
                <w:szCs w:val="16"/>
              </w:rPr>
              <w:t>Mínimo (operaciones nuevas están bajo controles del programa)</w:t>
            </w:r>
          </w:p>
        </w:tc>
      </w:tr>
      <w:tr w:rsidR="00AC25C7" w14:paraId="673CEA26" w14:textId="77777777">
        <w:tblPrEx>
          <w:tblCellMar>
            <w:top w:w="0" w:type="dxa"/>
            <w:bottom w:w="0" w:type="dxa"/>
          </w:tblCellMar>
        </w:tblPrEx>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3" w14:textId="77777777" w:rsidR="00AC25C7" w:rsidRDefault="00FE3684">
            <w:pPr>
              <w:spacing w:after="80"/>
            </w:pPr>
            <w:r>
              <w:rPr>
                <w:b/>
                <w:bCs/>
                <w:color w:val="1B2A4A"/>
                <w:sz w:val="16"/>
                <w:szCs w:val="16"/>
              </w:rPr>
              <w:t>Tiempo de consultor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4" w14:textId="77777777" w:rsidR="00AC25C7" w:rsidRDefault="00FE3684">
            <w:pPr>
              <w:spacing w:after="80"/>
            </w:pPr>
            <w:r>
              <w:rPr>
                <w:color w:val="000000"/>
                <w:sz w:val="16"/>
                <w:szCs w:val="16"/>
              </w:rPr>
              <w:t>40-50 horas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5" w14:textId="77777777" w:rsidR="00AC25C7" w:rsidRDefault="00FE3684">
            <w:pPr>
              <w:spacing w:after="80"/>
            </w:pPr>
            <w:r>
              <w:rPr>
                <w:color w:val="000000"/>
                <w:sz w:val="16"/>
                <w:szCs w:val="16"/>
              </w:rPr>
              <w:t>15-20 horas</w:t>
            </w:r>
          </w:p>
        </w:tc>
      </w:tr>
      <w:tr w:rsidR="00AC25C7" w14:paraId="673CEA2A" w14:textId="77777777">
        <w:tblPrEx>
          <w:tblCellMar>
            <w:top w:w="0" w:type="dxa"/>
            <w:bottom w:w="0" w:type="dxa"/>
          </w:tblCellMar>
        </w:tblPrEx>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27" w14:textId="77777777" w:rsidR="00AC25C7" w:rsidRDefault="00FE3684">
            <w:pPr>
              <w:spacing w:after="80"/>
            </w:pPr>
            <w:r>
              <w:rPr>
                <w:b/>
                <w:bCs/>
                <w:color w:val="1B2A4A"/>
                <w:sz w:val="16"/>
                <w:szCs w:val="16"/>
              </w:rPr>
              <w:t>Costo</w:t>
            </w:r>
          </w:p>
        </w:tc>
        <w:tc>
          <w:tcPr>
            <w:tcW w:w="40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28" w14:textId="77777777" w:rsidR="00AC25C7" w:rsidRDefault="00FE3684">
            <w:pPr>
              <w:spacing w:after="80"/>
            </w:pPr>
            <w:r>
              <w:rPr>
                <w:color w:val="000000"/>
                <w:sz w:val="16"/>
                <w:szCs w:val="16"/>
              </w:rPr>
              <w:t>Incluido en la implementación Certus PLD</w:t>
            </w:r>
          </w:p>
        </w:tc>
        <w:tc>
          <w:tcPr>
            <w:tcW w:w="35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673CEA29" w14:textId="77777777" w:rsidR="00AC25C7" w:rsidRDefault="00FE3684">
            <w:pPr>
              <w:spacing w:after="80"/>
            </w:pPr>
            <w:r>
              <w:rPr>
                <w:color w:val="000000"/>
                <w:sz w:val="16"/>
                <w:szCs w:val="16"/>
              </w:rPr>
              <w:t>Incluido en suscripción C3 (auditoría anual de mantenimiento)</w:t>
            </w:r>
          </w:p>
        </w:tc>
      </w:tr>
      <w:tr w:rsidR="00AC25C7" w14:paraId="673CEA2E" w14:textId="77777777">
        <w:tblPrEx>
          <w:tblCellMar>
            <w:top w:w="0" w:type="dxa"/>
            <w:bottom w:w="0" w:type="dxa"/>
          </w:tblCellMar>
        </w:tblPrEx>
        <w:trPr>
          <w:gridAfter w:val="1"/>
          <w:wAfter w:w="720" w:type="dxa"/>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B" w14:textId="77777777" w:rsidR="00AC25C7" w:rsidRDefault="00FE3684">
            <w:pPr>
              <w:spacing w:after="80"/>
            </w:pPr>
            <w:r>
              <w:rPr>
                <w:b/>
                <w:bCs/>
                <w:color w:val="1B2A4A"/>
                <w:sz w:val="16"/>
                <w:szCs w:val="16"/>
              </w:rPr>
              <w:t>Resultado esperado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C" w14:textId="77777777" w:rsidR="00AC25C7" w:rsidRDefault="00FE3684">
            <w:pPr>
              <w:spacing w:after="80"/>
            </w:pPr>
            <w:r>
              <w:rPr>
                <w:color w:val="000000"/>
                <w:sz w:val="16"/>
                <w:szCs w:val="16"/>
              </w:rPr>
              <w:t>Opinión de cumplimiento + defensa legal contra revisiones pasadas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CEA2D" w14:textId="77777777" w:rsidR="00AC25C7" w:rsidRDefault="00FE3684">
            <w:pPr>
              <w:spacing w:after="80"/>
            </w:pPr>
            <w:r>
              <w:rPr>
                <w:color w:val="000000"/>
                <w:sz w:val="16"/>
                <w:szCs w:val="16"/>
              </w:rPr>
              <w:t>Opinión de mantenimiento + continuidad del programa</w:t>
            </w:r>
          </w:p>
        </w:tc>
      </w:tr>
    </w:tbl>
    <w:p w14:paraId="673CEA2F"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A3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673CEA30" w14:textId="77777777" w:rsidR="00AC25C7" w:rsidRDefault="00FE3684">
            <w:pPr>
              <w:spacing w:after="100"/>
            </w:pPr>
            <w:r>
              <w:rPr>
                <w:b/>
                <w:bCs/>
                <w:color w:val="1B2A4A"/>
                <w:sz w:val="19"/>
                <w:szCs w:val="19"/>
              </w:rPr>
              <w:t>III.  POR QUÉ LAS AUDITORÍAS ANUALES SON MÁS FÁCILES (Y MÁS BARATAS)</w:t>
            </w:r>
          </w:p>
          <w:p w14:paraId="673CEA31" w14:textId="77777777" w:rsidR="00AC25C7" w:rsidRDefault="00FE3684">
            <w:pPr>
              <w:spacing w:after="80"/>
            </w:pPr>
            <w:r>
              <w:rPr>
                <w:color w:val="000000"/>
                <w:sz w:val="17"/>
                <w:szCs w:val="17"/>
              </w:rPr>
              <w:t>Después de que cerremos la auditoría de cierre con una opinión favorable, el Programa Certus PLD entra en régimen de mantenimiento ordinario. Las auditorías anuales (modalidad C3) son mucho más ágiles porque:</w:t>
            </w:r>
          </w:p>
          <w:p w14:paraId="673CEA32" w14:textId="77777777" w:rsidR="00AC25C7" w:rsidRDefault="00FE3684">
            <w:pPr>
              <w:spacing w:after="40"/>
            </w:pPr>
            <w:r>
              <w:rPr>
                <w:b/>
                <w:bCs/>
                <w:color w:val="1B2A4A"/>
                <w:sz w:val="18"/>
                <w:szCs w:val="18"/>
              </w:rPr>
              <w:t>1. Ya no hay regularización histórica</w:t>
            </w:r>
          </w:p>
          <w:p w14:paraId="673CEA33" w14:textId="77777777" w:rsidR="00AC25C7" w:rsidRDefault="00FE3684">
            <w:pPr>
              <w:spacing w:after="80"/>
            </w:pPr>
            <w:r>
              <w:rPr>
                <w:color w:val="000000"/>
                <w:sz w:val="17"/>
                <w:szCs w:val="17"/>
              </w:rPr>
              <w:t xml:space="preserve">   Solo se revisan las operaciones nuevas del período actual (últimos 12 meses). No hay que buscar expedientes viejos ni reconstruir nada.</w:t>
            </w:r>
          </w:p>
          <w:p w14:paraId="673CEA34" w14:textId="77777777" w:rsidR="00AC25C7" w:rsidRDefault="00FE3684">
            <w:pPr>
              <w:spacing w:after="40"/>
            </w:pPr>
            <w:r>
              <w:rPr>
                <w:b/>
                <w:bCs/>
                <w:color w:val="1B2A4A"/>
                <w:sz w:val="18"/>
                <w:szCs w:val="18"/>
              </w:rPr>
              <w:t>2. Los controles están establecidos</w:t>
            </w:r>
          </w:p>
          <w:p w14:paraId="673CEA35" w14:textId="77777777" w:rsidR="00AC25C7" w:rsidRDefault="00FE3684">
            <w:pPr>
              <w:spacing w:after="80"/>
            </w:pPr>
            <w:r>
              <w:rPr>
                <w:color w:val="000000"/>
                <w:sz w:val="17"/>
                <w:szCs w:val="17"/>
              </w:rPr>
              <w:t xml:space="preserve">   Su equipo ya sabe cómo completar un KYC, cómo aplicar la EBR, cómo presentar avisos al SAT. El proceso es rutina, no investigación.</w:t>
            </w:r>
          </w:p>
          <w:p w14:paraId="673CEA36" w14:textId="77777777" w:rsidR="00AC25C7" w:rsidRDefault="00FE3684">
            <w:pPr>
              <w:spacing w:after="40"/>
            </w:pPr>
            <w:r>
              <w:rPr>
                <w:b/>
                <w:bCs/>
                <w:color w:val="1B2A4A"/>
                <w:sz w:val="18"/>
                <w:szCs w:val="18"/>
              </w:rPr>
              <w:t>3. La documentación está contemporánea</w:t>
            </w:r>
          </w:p>
          <w:p w14:paraId="673CEA37" w14:textId="77777777" w:rsidR="00AC25C7" w:rsidRDefault="00FE3684">
            <w:pPr>
              <w:spacing w:after="80"/>
            </w:pPr>
            <w:r>
              <w:rPr>
                <w:color w:val="000000"/>
                <w:sz w:val="17"/>
                <w:szCs w:val="17"/>
              </w:rPr>
              <w:t xml:space="preserve">   Cuando una operación cierra, el expediente KYC ya está completo. No hay 'deuda acumulada' de documentación faltante.</w:t>
            </w:r>
          </w:p>
          <w:p w14:paraId="673CEA38" w14:textId="77777777" w:rsidR="00AC25C7" w:rsidRDefault="00FE3684">
            <w:pPr>
              <w:spacing w:after="40"/>
            </w:pPr>
            <w:r>
              <w:rPr>
                <w:b/>
                <w:bCs/>
                <w:color w:val="1B2A4A"/>
                <w:sz w:val="18"/>
                <w:szCs w:val="18"/>
              </w:rPr>
              <w:t>4. El auditor ya conoce su operación</w:t>
            </w:r>
          </w:p>
          <w:p w14:paraId="673CEA39" w14:textId="77777777" w:rsidR="00AC25C7" w:rsidRDefault="00FE3684">
            <w:pPr>
              <w:spacing w:after="80"/>
            </w:pPr>
            <w:r>
              <w:rPr>
                <w:color w:val="000000"/>
                <w:sz w:val="17"/>
                <w:szCs w:val="17"/>
              </w:rPr>
              <w:t xml:space="preserve">   Después de la auditoría de cierre, el auditor entiende cómo funciona su empresa, dónde están los riesgos y qué vigilar. La auditoría siguiente es validación, no descubrimiento.</w:t>
            </w:r>
          </w:p>
          <w:p w14:paraId="673CEA3A" w14:textId="77777777" w:rsidR="00AC25C7" w:rsidRDefault="00FE3684">
            <w:pPr>
              <w:spacing w:after="80"/>
            </w:pPr>
            <w:r>
              <w:rPr>
                <w:b/>
                <w:bCs/>
                <w:color w:val="1B2A4A"/>
                <w:sz w:val="17"/>
                <w:szCs w:val="17"/>
              </w:rPr>
              <w:t>Resultado: auditoría de cierre toma ~2 semanas; auditoría anual C3 toma 5-7 días.</w:t>
            </w:r>
          </w:p>
        </w:tc>
      </w:tr>
    </w:tbl>
    <w:p w14:paraId="673CEA3C"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A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673CEA3D" w14:textId="77777777" w:rsidR="00AC25C7" w:rsidRDefault="00FE3684">
            <w:pPr>
              <w:spacing w:after="80"/>
            </w:pPr>
            <w:r>
              <w:rPr>
                <w:b/>
                <w:bCs/>
                <w:color w:val="FFFFFF"/>
              </w:rPr>
              <w:t>IV.  COMPROMISO: CUMPLIMIENTO ESTRICTO = AUDITORÍAS SIMPLES</w:t>
            </w:r>
          </w:p>
        </w:tc>
      </w:tr>
      <w:tr w:rsidR="00AC25C7" w14:paraId="673CEA4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673CEA3F" w14:textId="77777777" w:rsidR="00AC25C7" w:rsidRDefault="00FE3684">
            <w:pPr>
              <w:spacing w:after="80"/>
            </w:pPr>
            <w:r>
              <w:rPr>
                <w:b/>
                <w:bCs/>
                <w:color w:val="1B2A4A"/>
                <w:sz w:val="18"/>
                <w:szCs w:val="18"/>
              </w:rPr>
              <w:t>La fórmula es simple:</w:t>
            </w:r>
          </w:p>
          <w:p w14:paraId="673CEA40" w14:textId="77777777" w:rsidR="00AC25C7" w:rsidRDefault="00FE3684">
            <w:pPr>
              <w:spacing w:after="100"/>
            </w:pPr>
            <w:r>
              <w:rPr>
                <w:b/>
                <w:bCs/>
                <w:color w:val="1B2A4A"/>
                <w:sz w:val="17"/>
                <w:szCs w:val="17"/>
              </w:rPr>
              <w:t xml:space="preserve">Cumplimiento estricto del programa </w:t>
            </w:r>
            <w:r>
              <w:rPr>
                <w:b/>
                <w:bCs/>
                <w:color w:val="000000"/>
                <w:sz w:val="17"/>
                <w:szCs w:val="17"/>
              </w:rPr>
              <w:t>→</w:t>
            </w:r>
            <w:r>
              <w:rPr>
                <w:b/>
                <w:bCs/>
                <w:color w:val="1B2A4A"/>
                <w:sz w:val="17"/>
                <w:szCs w:val="17"/>
              </w:rPr>
              <w:t xml:space="preserve"> Auditorías simples, rápidas y baratas</w:t>
            </w:r>
          </w:p>
          <w:p w14:paraId="673CEA41" w14:textId="77777777" w:rsidR="00AC25C7" w:rsidRDefault="00FE3684">
            <w:pPr>
              <w:spacing w:after="60"/>
            </w:pPr>
            <w:r>
              <w:rPr>
                <w:color w:val="000000"/>
                <w:sz w:val="17"/>
                <w:szCs w:val="17"/>
              </w:rPr>
              <w:t>Para mantener esto, el Representante de Cumplimiento debe:</w:t>
            </w:r>
          </w:p>
          <w:p w14:paraId="673CEA42" w14:textId="77777777" w:rsidR="00AC25C7" w:rsidRDefault="00FE3684">
            <w:pPr>
              <w:spacing w:after="40"/>
            </w:pPr>
            <w:r>
              <w:rPr>
                <w:color w:val="000000"/>
                <w:sz w:val="17"/>
                <w:szCs w:val="17"/>
              </w:rPr>
              <w:t>✓</w:t>
            </w:r>
            <w:r>
              <w:rPr>
                <w:color w:val="000000"/>
                <w:sz w:val="17"/>
                <w:szCs w:val="17"/>
              </w:rPr>
              <w:t xml:space="preserve"> Completar un expediente KYC ANTES de cerrar cada operación</w:t>
            </w:r>
          </w:p>
          <w:p w14:paraId="673CEA43" w14:textId="77777777" w:rsidR="00AC25C7" w:rsidRDefault="00FE3684">
            <w:pPr>
              <w:spacing w:after="40"/>
            </w:pPr>
            <w:r>
              <w:rPr>
                <w:color w:val="000000"/>
                <w:sz w:val="17"/>
                <w:szCs w:val="17"/>
              </w:rPr>
              <w:t>✓</w:t>
            </w:r>
            <w:r>
              <w:rPr>
                <w:color w:val="000000"/>
                <w:sz w:val="17"/>
                <w:szCs w:val="17"/>
              </w:rPr>
              <w:t xml:space="preserve"> Aplicar la evaluación EBR a cada cliente nuevo</w:t>
            </w:r>
          </w:p>
          <w:p w14:paraId="673CEA44" w14:textId="77777777" w:rsidR="00AC25C7" w:rsidRDefault="00FE3684">
            <w:pPr>
              <w:spacing w:after="40"/>
            </w:pPr>
            <w:r>
              <w:rPr>
                <w:color w:val="000000"/>
                <w:sz w:val="17"/>
                <w:szCs w:val="17"/>
              </w:rPr>
              <w:t>✓</w:t>
            </w:r>
            <w:r>
              <w:rPr>
                <w:color w:val="000000"/>
                <w:sz w:val="17"/>
                <w:szCs w:val="17"/>
              </w:rPr>
              <w:t xml:space="preserve"> Presentar avisos mensuales al SAT dentro del plazo (17 días hábiles)</w:t>
            </w:r>
          </w:p>
          <w:p w14:paraId="673CEA45" w14:textId="77777777" w:rsidR="00AC25C7" w:rsidRDefault="00FE3684">
            <w:pPr>
              <w:spacing w:after="40"/>
            </w:pPr>
            <w:r>
              <w:rPr>
                <w:color w:val="000000"/>
                <w:sz w:val="17"/>
                <w:szCs w:val="17"/>
              </w:rPr>
              <w:t>✓</w:t>
            </w:r>
            <w:r>
              <w:rPr>
                <w:color w:val="000000"/>
                <w:sz w:val="17"/>
                <w:szCs w:val="17"/>
              </w:rPr>
              <w:t xml:space="preserve"> Mantener todos los documentos resguardados y accesibles</w:t>
            </w:r>
          </w:p>
          <w:p w14:paraId="673CEA46" w14:textId="77777777" w:rsidR="00AC25C7" w:rsidRDefault="00FE3684">
            <w:pPr>
              <w:spacing w:after="40"/>
            </w:pPr>
            <w:r>
              <w:rPr>
                <w:color w:val="000000"/>
                <w:sz w:val="17"/>
                <w:szCs w:val="17"/>
              </w:rPr>
              <w:t>✓</w:t>
            </w:r>
            <w:r>
              <w:rPr>
                <w:color w:val="000000"/>
                <w:sz w:val="17"/>
                <w:szCs w:val="17"/>
              </w:rPr>
              <w:t xml:space="preserve"> Capacitar al personal comercial en procedimientos PLD</w:t>
            </w:r>
          </w:p>
          <w:p w14:paraId="673CEA47" w14:textId="77777777" w:rsidR="00AC25C7" w:rsidRDefault="00FE3684">
            <w:pPr>
              <w:spacing w:after="80"/>
            </w:pPr>
            <w:r>
              <w:rPr>
                <w:color w:val="000000"/>
                <w:sz w:val="17"/>
                <w:szCs w:val="17"/>
              </w:rPr>
              <w:t>✓</w:t>
            </w:r>
            <w:r>
              <w:rPr>
                <w:color w:val="000000"/>
                <w:sz w:val="17"/>
                <w:szCs w:val="17"/>
              </w:rPr>
              <w:t xml:space="preserve"> Reportar operaciones inusuales sin demora</w:t>
            </w:r>
          </w:p>
          <w:p w14:paraId="673CEA48" w14:textId="77777777" w:rsidR="00AC25C7" w:rsidRDefault="00FE3684">
            <w:pPr>
              <w:spacing w:after="80"/>
            </w:pPr>
            <w:r>
              <w:rPr>
                <w:b/>
                <w:bCs/>
                <w:color w:val="000000"/>
                <w:sz w:val="17"/>
                <w:szCs w:val="17"/>
              </w:rPr>
              <w:t>Si sigue estas pautas, las auditorías anuales serán una simple validación de que todo está en orden. Sin hallazgos. Sin sorpresas.</w:t>
            </w:r>
          </w:p>
        </w:tc>
      </w:tr>
    </w:tbl>
    <w:p w14:paraId="673CEA4A" w14:textId="77777777" w:rsidR="00AC25C7" w:rsidRDefault="00FE3684">
      <w:pPr>
        <w:spacing w:after="40"/>
      </w:pPr>
      <w:r>
        <w:rPr>
          <w:color w:val="000000"/>
          <w:sz w:val="14"/>
          <w:szCs w:val="14"/>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A52" w14:textId="77777777">
        <w:tblPrEx>
          <w:tblCellMar>
            <w:top w:w="0" w:type="dxa"/>
            <w:bottom w:w="0" w:type="dxa"/>
          </w:tblCellMar>
        </w:tblPrEx>
        <w:tc>
          <w:tcPr>
            <w:tcW w:w="9360" w:type="dxa"/>
            <w:tcBorders>
              <w:top w:val="single" w:sz="1" w:space="0" w:color="C9A84C"/>
              <w:left w:val="single" w:sz="1" w:space="0" w:color="C9A84C"/>
              <w:bottom w:val="single" w:sz="1" w:space="0" w:color="C9A84C"/>
              <w:right w:val="single" w:sz="1" w:space="0" w:color="C9A84C"/>
            </w:tcBorders>
            <w:shd w:val="clear" w:color="auto" w:fill="FFF3CD"/>
            <w:tcMar>
              <w:top w:w="100" w:type="dxa"/>
              <w:left w:w="160" w:type="dxa"/>
              <w:bottom w:w="100" w:type="dxa"/>
              <w:right w:w="160" w:type="dxa"/>
            </w:tcMar>
          </w:tcPr>
          <w:p w14:paraId="673CEA4B" w14:textId="77777777" w:rsidR="00AC25C7" w:rsidRDefault="00FE3684">
            <w:pPr>
              <w:spacing w:after="100"/>
            </w:pPr>
            <w:r>
              <w:rPr>
                <w:b/>
                <w:bCs/>
                <w:color w:val="1B2A4A"/>
                <w:sz w:val="19"/>
                <w:szCs w:val="19"/>
              </w:rPr>
              <w:t>V.  DESPUÉS DE LA AUDITORÍA DE CIERRE: OPCIONES</w:t>
            </w:r>
          </w:p>
          <w:p w14:paraId="673CEA4C" w14:textId="77777777" w:rsidR="00AC25C7" w:rsidRDefault="00FE3684">
            <w:pPr>
              <w:spacing w:after="60"/>
            </w:pPr>
            <w:r>
              <w:rPr>
                <w:b/>
                <w:bCs/>
                <w:color w:val="1B2A4A"/>
                <w:sz w:val="18"/>
                <w:szCs w:val="18"/>
              </w:rPr>
              <w:t>Opción A: Suscripción C3 (RECOMENDADA)</w:t>
            </w:r>
          </w:p>
          <w:p w14:paraId="673CEA4D" w14:textId="77777777" w:rsidR="00AC25C7" w:rsidRDefault="00FE3684">
            <w:pPr>
              <w:spacing w:after="100"/>
            </w:pPr>
            <w:r>
              <w:rPr>
                <w:color w:val="000000"/>
                <w:sz w:val="17"/>
                <w:szCs w:val="17"/>
              </w:rPr>
              <w:t>Contrato anual de mantenimiento que incluye: auditoría anual (5-7 días), actualización del programa ante cambios normativos (DOF), revisión trimestral del control de avisos, capacitación semestral, y 10 consultas de soporte al RC. Costo: diseñado para ser accesible después de haber cumplido con la implementación inicial.</w:t>
            </w:r>
          </w:p>
          <w:p w14:paraId="673CEA4E" w14:textId="77777777" w:rsidR="00AC25C7" w:rsidRDefault="00FE3684">
            <w:pPr>
              <w:spacing w:after="60"/>
            </w:pPr>
            <w:r>
              <w:rPr>
                <w:b/>
                <w:bCs/>
                <w:color w:val="1B2A4A"/>
                <w:sz w:val="18"/>
                <w:szCs w:val="18"/>
              </w:rPr>
              <w:t>Opción B: Auditoría sin suscripción</w:t>
            </w:r>
          </w:p>
          <w:p w14:paraId="673CEA4F" w14:textId="77777777" w:rsidR="00AC25C7" w:rsidRDefault="00FE3684">
            <w:pPr>
              <w:spacing w:after="100"/>
            </w:pPr>
            <w:r>
              <w:rPr>
                <w:color w:val="000000"/>
                <w:sz w:val="17"/>
                <w:szCs w:val="17"/>
              </w:rPr>
              <w:t>Si prefiere no renovar, puede solicitar auditorías puntuales cada vez que lo necesite. Más caro por auditoría, sin continuidad ni soporte activo.</w:t>
            </w:r>
          </w:p>
          <w:p w14:paraId="673CEA50" w14:textId="77777777" w:rsidR="00AC25C7" w:rsidRDefault="00FE3684">
            <w:pPr>
              <w:spacing w:after="60"/>
            </w:pPr>
            <w:r>
              <w:rPr>
                <w:b/>
                <w:bCs/>
                <w:color w:val="1B2A4A"/>
                <w:sz w:val="18"/>
                <w:szCs w:val="18"/>
              </w:rPr>
              <w:t>Opción C: Interno (NO RECOMENDADO)</w:t>
            </w:r>
          </w:p>
          <w:p w14:paraId="673CEA51" w14:textId="77777777" w:rsidR="00AC25C7" w:rsidRDefault="00FE3684">
            <w:pPr>
              <w:spacing w:after="80"/>
            </w:pPr>
            <w:r>
              <w:rPr>
                <w:color w:val="000000"/>
                <w:sz w:val="17"/>
                <w:szCs w:val="17"/>
              </w:rPr>
              <w:t>Si intenta mantener el programa internamente sin auditoría externa, pierde la defensa legal ante una revisión de la autoridad. El D13 de cierre es válido, pero sin auditorías anuales que demuestren continuidad, la autoridad puede cuestionar si el programa sigue operativo. No es recomendable.</w:t>
            </w:r>
          </w:p>
        </w:tc>
      </w:tr>
    </w:tbl>
    <w:p w14:paraId="673CEA53" w14:textId="77777777" w:rsidR="00AC25C7" w:rsidRDefault="00FE3684">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25C7" w14:paraId="673CEA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160" w:type="dxa"/>
              <w:bottom w:w="120" w:type="dxa"/>
              <w:right w:w="160" w:type="dxa"/>
            </w:tcMar>
          </w:tcPr>
          <w:p w14:paraId="673CEA54" w14:textId="77777777" w:rsidR="00AC25C7" w:rsidRDefault="00FE3684">
            <w:pPr>
              <w:spacing w:after="40"/>
              <w:jc w:val="center"/>
            </w:pPr>
            <w:r>
              <w:rPr>
                <w:b/>
                <w:bCs/>
                <w:color w:val="C9A84C"/>
                <w:sz w:val="18"/>
                <w:szCs w:val="18"/>
              </w:rPr>
              <w:t>¿Preguntas sobre el programa?</w:t>
            </w:r>
          </w:p>
          <w:p w14:paraId="673CEA55" w14:textId="1D2A92AC" w:rsidR="00AC25C7" w:rsidRDefault="00FE3684">
            <w:pPr>
              <w:spacing w:after="40"/>
              <w:jc w:val="center"/>
            </w:pPr>
            <w:proofErr w:type="gramStart"/>
            <w:r>
              <w:rPr>
                <w:color w:val="FFFFFF"/>
                <w:sz w:val="16"/>
                <w:szCs w:val="16"/>
              </w:rPr>
              <w:t>contacto@certusconsultores.com.mx  |</w:t>
            </w:r>
            <w:proofErr w:type="gramEnd"/>
            <w:r>
              <w:rPr>
                <w:color w:val="FFFFFF"/>
                <w:sz w:val="16"/>
                <w:szCs w:val="16"/>
              </w:rPr>
              <w:t xml:space="preserve">  999 163 </w:t>
            </w:r>
            <w:proofErr w:type="gramStart"/>
            <w:r>
              <w:rPr>
                <w:color w:val="FFFFFF"/>
                <w:sz w:val="16"/>
                <w:szCs w:val="16"/>
              </w:rPr>
              <w:t>1363  |</w:t>
            </w:r>
            <w:proofErr w:type="gramEnd"/>
            <w:r>
              <w:rPr>
                <w:color w:val="FFFFFF"/>
                <w:sz w:val="16"/>
                <w:szCs w:val="16"/>
              </w:rPr>
              <w:t xml:space="preserve">  Merida, </w:t>
            </w:r>
            <w:r w:rsidR="00EF17AA">
              <w:rPr>
                <w:color w:val="FFFFFF"/>
                <w:sz w:val="16"/>
                <w:szCs w:val="16"/>
              </w:rPr>
              <w:t>Yucatán</w:t>
            </w:r>
          </w:p>
          <w:p w14:paraId="673CEA56" w14:textId="77777777" w:rsidR="00AC25C7" w:rsidRDefault="00FE3684">
            <w:pPr>
              <w:spacing w:after="80"/>
              <w:jc w:val="center"/>
            </w:pPr>
            <w:r>
              <w:rPr>
                <w:color w:val="C9A84C"/>
                <w:sz w:val="15"/>
                <w:szCs w:val="15"/>
              </w:rPr>
              <w:t xml:space="preserve">Horario: </w:t>
            </w:r>
            <w:proofErr w:type="gramStart"/>
            <w:r>
              <w:rPr>
                <w:color w:val="C9A84C"/>
                <w:sz w:val="15"/>
                <w:szCs w:val="15"/>
              </w:rPr>
              <w:t>Lunes</w:t>
            </w:r>
            <w:proofErr w:type="gramEnd"/>
            <w:r>
              <w:rPr>
                <w:color w:val="C9A84C"/>
                <w:sz w:val="15"/>
                <w:szCs w:val="15"/>
              </w:rPr>
              <w:t xml:space="preserve"> a </w:t>
            </w:r>
            <w:proofErr w:type="gramStart"/>
            <w:r>
              <w:rPr>
                <w:color w:val="C9A84C"/>
                <w:sz w:val="15"/>
                <w:szCs w:val="15"/>
              </w:rPr>
              <w:t>Viernes</w:t>
            </w:r>
            <w:proofErr w:type="gramEnd"/>
            <w:r>
              <w:rPr>
                <w:color w:val="C9A84C"/>
                <w:sz w:val="15"/>
                <w:szCs w:val="15"/>
              </w:rPr>
              <w:t xml:space="preserve">, 09:00–18:00 </w:t>
            </w:r>
            <w:proofErr w:type="spellStart"/>
            <w:r>
              <w:rPr>
                <w:color w:val="C9A84C"/>
                <w:sz w:val="15"/>
                <w:szCs w:val="15"/>
              </w:rPr>
              <w:t>hrs</w:t>
            </w:r>
            <w:proofErr w:type="spellEnd"/>
          </w:p>
        </w:tc>
      </w:tr>
    </w:tbl>
    <w:p w14:paraId="673CEA58" w14:textId="77777777" w:rsidR="00FE3684" w:rsidRDefault="00FE3684"/>
    <w:sectPr w:rsidR="00FE3684">
      <w:headerReference w:type="default" r:id="rId7"/>
      <w:footerReference w:type="default" r:id="rId8"/>
      <w:pgSz w:w="12240" w:h="15840"/>
      <w:pgMar w:top="120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857DC" w14:textId="77777777" w:rsidR="00FE3684" w:rsidRDefault="00FE3684">
      <w:r>
        <w:separator/>
      </w:r>
    </w:p>
  </w:endnote>
  <w:endnote w:type="continuationSeparator" w:id="0">
    <w:p w14:paraId="0C99FDFB" w14:textId="77777777" w:rsidR="00FE3684" w:rsidRDefault="00FE36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CEA5E" w14:textId="02B5F18E" w:rsidR="00AC25C7" w:rsidRDefault="00FE3684">
    <w:pPr>
      <w:pBdr>
        <w:top w:val="single" w:sz="6" w:space="4" w:color="C9A84C"/>
      </w:pBdr>
      <w:tabs>
        <w:tab w:val="right" w:pos="9360"/>
      </w:tabs>
      <w:spacing w:before="80"/>
    </w:pPr>
    <w:r>
      <w:rPr>
        <w:color w:val="666666"/>
        <w:sz w:val="14"/>
        <w:szCs w:val="14"/>
      </w:rPr>
      <w:t>Certus PLD | CARTA-BIENVENIDA | Confidencial</w:t>
    </w:r>
    <w:r>
      <w:rPr>
        <w:sz w:val="14"/>
        <w:szCs w:val="14"/>
      </w:rPr>
      <w:tab/>
    </w:r>
    <w:proofErr w:type="spellStart"/>
    <w:r>
      <w:rPr>
        <w:color w:val="666666"/>
        <w:sz w:val="14"/>
        <w:szCs w:val="14"/>
      </w:rPr>
      <w:t>Pag.</w:t>
    </w:r>
    <w:proofErr w:type="spellEnd"/>
    <w:r>
      <w:rPr>
        <w:color w:val="666666"/>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5587E" w14:textId="77777777" w:rsidR="00FE3684" w:rsidRDefault="00FE3684">
      <w:r>
        <w:separator/>
      </w:r>
    </w:p>
  </w:footnote>
  <w:footnote w:type="continuationSeparator" w:id="0">
    <w:p w14:paraId="6100D2B7" w14:textId="77777777" w:rsidR="00FE3684" w:rsidRDefault="00FE36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AC25C7" w14:paraId="673CEA5C"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shd w:val="clear" w:color="auto" w:fill="1B2A4A"/>
          <w:tcMar>
            <w:top w:w="110" w:type="dxa"/>
            <w:left w:w="200" w:type="dxa"/>
            <w:bottom w:w="110" w:type="dxa"/>
            <w:right w:w="100" w:type="dxa"/>
          </w:tcMar>
        </w:tcPr>
        <w:p w14:paraId="673CEA58" w14:textId="62069B33" w:rsidR="00AC25C7" w:rsidRDefault="00FE3684">
          <w:pPr>
            <w:spacing w:after="80"/>
          </w:pPr>
          <w:r>
            <w:rPr>
              <w:b/>
              <w:bCs/>
              <w:color w:val="C9A84C"/>
              <w:sz w:val="15"/>
              <w:szCs w:val="15"/>
            </w:rPr>
            <w:t xml:space="preserve">CERTUS </w:t>
          </w:r>
          <w:proofErr w:type="gramStart"/>
          <w:r>
            <w:rPr>
              <w:b/>
              <w:bCs/>
              <w:color w:val="C9A84C"/>
              <w:sz w:val="15"/>
              <w:szCs w:val="15"/>
            </w:rPr>
            <w:t>PLD  |</w:t>
          </w:r>
          <w:proofErr w:type="gramEnd"/>
          <w:r>
            <w:rPr>
              <w:b/>
              <w:bCs/>
              <w:color w:val="C9A84C"/>
              <w:sz w:val="15"/>
              <w:szCs w:val="15"/>
            </w:rPr>
            <w:t xml:space="preserve">  </w:t>
          </w:r>
          <w:r w:rsidR="009170E6" w:rsidRPr="009170E6">
            <w:rPr>
              <w:b/>
              <w:bCs/>
              <w:color w:val="C9A84C"/>
              <w:sz w:val="15"/>
              <w:szCs w:val="15"/>
            </w:rPr>
            <w:t>CERTUS CONSULTORES/ESPINOSA SALAZAR</w:t>
          </w:r>
        </w:p>
        <w:p w14:paraId="673CEA59" w14:textId="77777777" w:rsidR="00AC25C7" w:rsidRDefault="00FE3684">
          <w:pPr>
            <w:spacing w:after="80"/>
          </w:pPr>
          <w:r>
            <w:rPr>
              <w:b/>
              <w:bCs/>
              <w:color w:val="FFFFFF"/>
              <w:sz w:val="21"/>
              <w:szCs w:val="21"/>
            </w:rPr>
            <w:t>CARTA-</w:t>
          </w:r>
          <w:proofErr w:type="gramStart"/>
          <w:r>
            <w:rPr>
              <w:b/>
              <w:bCs/>
              <w:color w:val="FFFFFF"/>
              <w:sz w:val="21"/>
              <w:szCs w:val="21"/>
            </w:rPr>
            <w:t>BIENVENIDA  Carta</w:t>
          </w:r>
          <w:proofErr w:type="gramEnd"/>
          <w:r>
            <w:rPr>
              <w:b/>
              <w:bCs/>
              <w:color w:val="FFFFFF"/>
              <w:sz w:val="21"/>
              <w:szCs w:val="21"/>
            </w:rPr>
            <w:t xml:space="preserve"> de Bienvenida — Orientación al Cliente Certus PLD</w:t>
          </w:r>
        </w:p>
      </w:tc>
      <w:tc>
        <w:tcPr>
          <w:tcW w:w="2860" w:type="dxa"/>
          <w:tcBorders>
            <w:top w:val="none" w:sz="0" w:space="0" w:color="FFFFFF"/>
            <w:left w:val="none" w:sz="0" w:space="0" w:color="FFFFFF"/>
            <w:bottom w:val="none" w:sz="0" w:space="0" w:color="FFFFFF"/>
            <w:right w:val="none" w:sz="0" w:space="0" w:color="FFFFFF"/>
          </w:tcBorders>
          <w:shd w:val="clear" w:color="auto" w:fill="C9A84C"/>
          <w:tcMar>
            <w:top w:w="80" w:type="dxa"/>
            <w:left w:w="120" w:type="dxa"/>
            <w:bottom w:w="80" w:type="dxa"/>
            <w:right w:w="120" w:type="dxa"/>
          </w:tcMar>
          <w:vAlign w:val="center"/>
        </w:tcPr>
        <w:p w14:paraId="673CEA5A" w14:textId="77777777" w:rsidR="00AC25C7" w:rsidRDefault="00FE3684">
          <w:pPr>
            <w:spacing w:after="80"/>
            <w:jc w:val="center"/>
          </w:pPr>
          <w:r>
            <w:rPr>
              <w:b/>
              <w:bCs/>
              <w:color w:val="1B2A4A"/>
              <w:sz w:val="15"/>
              <w:szCs w:val="15"/>
            </w:rPr>
            <w:t>USO INTERNO</w:t>
          </w:r>
        </w:p>
        <w:p w14:paraId="673CEA5B" w14:textId="77777777" w:rsidR="00AC25C7" w:rsidRDefault="00FE3684">
          <w:pPr>
            <w:spacing w:after="80"/>
            <w:jc w:val="center"/>
          </w:pPr>
          <w:r>
            <w:rPr>
              <w:color w:val="1B2A4A"/>
              <w:sz w:val="13"/>
              <w:szCs w:val="13"/>
            </w:rPr>
            <w:t>Auditoria PLD</w:t>
          </w:r>
        </w:p>
      </w:tc>
    </w:tr>
  </w:tbl>
  <w:p w14:paraId="673CEA5D" w14:textId="77777777" w:rsidR="00AC25C7" w:rsidRDefault="00AC25C7">
    <w:pP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4301A"/>
    <w:multiLevelType w:val="hybridMultilevel"/>
    <w:tmpl w:val="B85C396E"/>
    <w:lvl w:ilvl="0" w:tplc="AC78176C">
      <w:start w:val="1"/>
      <w:numFmt w:val="bullet"/>
      <w:lvlText w:val="●"/>
      <w:lvlJc w:val="left"/>
      <w:pPr>
        <w:ind w:left="720" w:hanging="360"/>
      </w:pPr>
    </w:lvl>
    <w:lvl w:ilvl="1" w:tplc="EFAA14E4">
      <w:start w:val="1"/>
      <w:numFmt w:val="bullet"/>
      <w:lvlText w:val="○"/>
      <w:lvlJc w:val="left"/>
      <w:pPr>
        <w:ind w:left="1440" w:hanging="360"/>
      </w:pPr>
    </w:lvl>
    <w:lvl w:ilvl="2" w:tplc="AE602312">
      <w:start w:val="1"/>
      <w:numFmt w:val="bullet"/>
      <w:lvlText w:val="■"/>
      <w:lvlJc w:val="left"/>
      <w:pPr>
        <w:ind w:left="2160" w:hanging="360"/>
      </w:pPr>
    </w:lvl>
    <w:lvl w:ilvl="3" w:tplc="C570F184">
      <w:start w:val="1"/>
      <w:numFmt w:val="bullet"/>
      <w:lvlText w:val="●"/>
      <w:lvlJc w:val="left"/>
      <w:pPr>
        <w:ind w:left="2880" w:hanging="360"/>
      </w:pPr>
    </w:lvl>
    <w:lvl w:ilvl="4" w:tplc="EEB42D56">
      <w:start w:val="1"/>
      <w:numFmt w:val="bullet"/>
      <w:lvlText w:val="○"/>
      <w:lvlJc w:val="left"/>
      <w:pPr>
        <w:ind w:left="3600" w:hanging="360"/>
      </w:pPr>
    </w:lvl>
    <w:lvl w:ilvl="5" w:tplc="97B43D98">
      <w:start w:val="1"/>
      <w:numFmt w:val="bullet"/>
      <w:lvlText w:val="■"/>
      <w:lvlJc w:val="left"/>
      <w:pPr>
        <w:ind w:left="4320" w:hanging="360"/>
      </w:pPr>
    </w:lvl>
    <w:lvl w:ilvl="6" w:tplc="60228AA8">
      <w:start w:val="1"/>
      <w:numFmt w:val="bullet"/>
      <w:lvlText w:val="●"/>
      <w:lvlJc w:val="left"/>
      <w:pPr>
        <w:ind w:left="5040" w:hanging="360"/>
      </w:pPr>
    </w:lvl>
    <w:lvl w:ilvl="7" w:tplc="CBF62E5A">
      <w:start w:val="1"/>
      <w:numFmt w:val="bullet"/>
      <w:lvlText w:val="●"/>
      <w:lvlJc w:val="left"/>
      <w:pPr>
        <w:ind w:left="5760" w:hanging="360"/>
      </w:pPr>
    </w:lvl>
    <w:lvl w:ilvl="8" w:tplc="C2BAF228">
      <w:start w:val="1"/>
      <w:numFmt w:val="bullet"/>
      <w:lvlText w:val="●"/>
      <w:lvlJc w:val="left"/>
      <w:pPr>
        <w:ind w:left="6480" w:hanging="360"/>
      </w:pPr>
    </w:lvl>
  </w:abstractNum>
  <w:num w:numId="1" w16cid:durableId="734748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25C7"/>
    <w:rsid w:val="009170E6"/>
    <w:rsid w:val="00963EE8"/>
    <w:rsid w:val="00AC25C7"/>
    <w:rsid w:val="00EF17AA"/>
    <w:rsid w:val="00FE368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CE9DD"/>
  <w15:docId w15:val="{EB32BDF4-26C6-42F8-AD8D-15667205E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170E6"/>
    <w:pPr>
      <w:tabs>
        <w:tab w:val="center" w:pos="4419"/>
        <w:tab w:val="right" w:pos="8838"/>
      </w:tabs>
    </w:pPr>
  </w:style>
  <w:style w:type="character" w:customStyle="1" w:styleId="EncabezadoCar">
    <w:name w:val="Encabezado Car"/>
    <w:basedOn w:val="Fuentedeprrafopredeter"/>
    <w:link w:val="Encabezado"/>
    <w:uiPriority w:val="99"/>
    <w:rsid w:val="009170E6"/>
  </w:style>
  <w:style w:type="paragraph" w:styleId="Piedepgina">
    <w:name w:val="footer"/>
    <w:basedOn w:val="Normal"/>
    <w:link w:val="PiedepginaCar"/>
    <w:uiPriority w:val="99"/>
    <w:unhideWhenUsed/>
    <w:rsid w:val="009170E6"/>
    <w:pPr>
      <w:tabs>
        <w:tab w:val="center" w:pos="4419"/>
        <w:tab w:val="right" w:pos="8838"/>
      </w:tabs>
    </w:pPr>
  </w:style>
  <w:style w:type="character" w:customStyle="1" w:styleId="PiedepginaCar">
    <w:name w:val="Pie de página Car"/>
    <w:basedOn w:val="Fuentedeprrafopredeter"/>
    <w:link w:val="Piedepgina"/>
    <w:uiPriority w:val="99"/>
    <w:rsid w:val="00917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899</Words>
  <Characters>4945</Characters>
  <Application>Microsoft Office Word</Application>
  <DocSecurity>0</DocSecurity>
  <Lines>41</Lines>
  <Paragraphs>11</Paragraphs>
  <ScaleCrop>false</ScaleCrop>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LUIS NARANJO BOBADILLA</cp:lastModifiedBy>
  <cp:revision>3</cp:revision>
  <dcterms:created xsi:type="dcterms:W3CDTF">2026-05-31T01:18:00Z</dcterms:created>
  <dcterms:modified xsi:type="dcterms:W3CDTF">2026-05-31T13:23:00Z</dcterms:modified>
</cp:coreProperties>
</file>