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1D09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53D1D0A" w14:textId="77777777" w:rsidR="007850A9" w:rsidRDefault="00000000">
      <w:pPr>
        <w:spacing w:after="60"/>
        <w:jc w:val="center"/>
      </w:pPr>
      <w:r>
        <w:rPr>
          <w:b/>
          <w:bCs/>
          <w:color w:val="1B2A4A"/>
          <w:sz w:val="24"/>
          <w:szCs w:val="24"/>
        </w:rPr>
        <w:t>PT-00 — CÉDULA DE PLANEACIÓN DE AUDITORÍA</w:t>
      </w:r>
    </w:p>
    <w:p w14:paraId="253D1D0B" w14:textId="77777777" w:rsidR="007850A9" w:rsidRDefault="00000000">
      <w:pPr>
        <w:spacing w:after="120"/>
        <w:jc w:val="center"/>
      </w:pPr>
      <w:r>
        <w:rPr>
          <w:color w:val="C9A84C"/>
          <w:sz w:val="17"/>
          <w:szCs w:val="17"/>
        </w:rPr>
        <w:t>Auditoría de Cierre + Regularización Histórica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850A9" w14:paraId="253D1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0C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I.  DATOS GENERALES DE LA AUDITORIA</w:t>
            </w:r>
          </w:p>
        </w:tc>
      </w:tr>
      <w:tr w:rsidR="007850A9" w14:paraId="253D1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0E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Empresa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0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</w:tc>
      </w:tr>
      <w:tr w:rsidR="007850A9" w14:paraId="253D1D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1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RFC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2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{{RFC}}</w:t>
            </w:r>
          </w:p>
        </w:tc>
      </w:tr>
      <w:tr w:rsidR="007850A9" w14:paraId="253D1D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4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Representante de 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RC_Nombre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</w:tc>
      </w:tr>
      <w:tr w:rsidR="007850A9" w14:paraId="253D1D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7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Auditor externo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8" w14:textId="743EC5E4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Jose Luis Naranjo Bobadilla — </w:t>
            </w:r>
            <w:r w:rsidR="00B47DC8" w:rsidRPr="00B47DC8">
              <w:rPr>
                <w:color w:val="000000"/>
                <w:sz w:val="16"/>
                <w:szCs w:val="16"/>
              </w:rPr>
              <w:t>CERTUS CONSULTORES/ESPINOSA SALAZAR</w:t>
            </w:r>
          </w:p>
        </w:tc>
      </w:tr>
      <w:tr w:rsidR="007850A9" w14:paraId="253D1D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A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Tipo de programa auditado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PLD — Programa de Cumplimiento PLD/FT (90 días)</w:t>
            </w:r>
          </w:p>
        </w:tc>
      </w:tr>
      <w:tr w:rsidR="007850A9" w14:paraId="253D1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D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NOTA DE ESTRUCTURA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Auditoría en dos fases: Fase 0 (regularización histórica) + Fase 5 (auditoría de cierre)</w:t>
            </w:r>
          </w:p>
        </w:tc>
      </w:tr>
      <w:tr w:rsidR="007850A9" w14:paraId="253D1D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0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Período cubierto por la auditoría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1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Junio 2025 — {{</w:t>
            </w:r>
            <w:proofErr w:type="spellStart"/>
            <w:r>
              <w:rPr>
                <w:color w:val="000000"/>
                <w:sz w:val="16"/>
                <w:szCs w:val="16"/>
              </w:rPr>
              <w:t>Fecha_Cierre</w:t>
            </w:r>
            <w:proofErr w:type="spellEnd"/>
            <w:r>
              <w:rPr>
                <w:color w:val="000000"/>
                <w:sz w:val="16"/>
                <w:szCs w:val="16"/>
              </w:rPr>
              <w:t>}} (período de vigencia de la reforma LFPIORPI julio 2025)</w:t>
            </w:r>
          </w:p>
        </w:tc>
      </w:tr>
      <w:tr w:rsidR="007850A9" w14:paraId="253D1D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3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de inicio regularización histórica (Fase 0)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{{Fecha_Inicio_Fase0}}</w:t>
            </w:r>
          </w:p>
        </w:tc>
      </w:tr>
      <w:tr w:rsidR="007850A9" w14:paraId="253D1D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6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de inicio auditoría de cierre (Fase 5)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7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Fecha_Inicio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</w:tc>
      </w:tr>
      <w:tr w:rsidR="007850A9" w14:paraId="253D1D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9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estimada de cierre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Fecha_Cierre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</w:tc>
      </w:tr>
      <w:tr w:rsidR="007850A9" w14:paraId="253D1D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C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Lugar de ejecución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D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{{Lugar}}</w:t>
            </w:r>
          </w:p>
        </w:tc>
      </w:tr>
      <w:tr w:rsidR="007850A9" w14:paraId="253D1D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F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Fundamento legal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3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LFPIORPI (reforma DOF 16 julio 2025), Reglamento (reforma DOF 27 marzo 2026), Art. 47 (actuación espontánea)</w:t>
            </w:r>
          </w:p>
        </w:tc>
      </w:tr>
    </w:tbl>
    <w:p w14:paraId="253D1D32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50A9" w14:paraId="253D1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D1D33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>II.  ESTRUCTURA DUAL: FASE 0 (REGULARIZACIÓN HISTÓRICA) + FASE 5 (AUDITORÍA DE CIERRE)</w:t>
            </w:r>
          </w:p>
          <w:p w14:paraId="253D1D34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Esta auditoría se ejecuta en dos fases secuenciales para asegurar que la empresa inicia la vigencia del programa sin deficiencias retroactivas que generen exposición legal.</w:t>
            </w:r>
          </w:p>
          <w:p w14:paraId="253D1D35" w14:textId="77777777" w:rsidR="007850A9" w:rsidRDefault="0000000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FASE 0 — REGULARIZACIÓN HISTÓRICA (Ejecutada antes del 15 de {{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Fecha_Inicio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>}}):</w:t>
            </w:r>
          </w:p>
          <w:p w14:paraId="253D1D36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Reconstrucción de expedientes KYC para todas las operaciones cerradas entre junio 2025 y {{</w:t>
            </w:r>
            <w:proofErr w:type="spellStart"/>
            <w:r>
              <w:rPr>
                <w:color w:val="000000"/>
                <w:sz w:val="17"/>
                <w:szCs w:val="17"/>
              </w:rPr>
              <w:t>Mes_Anterior_Auditoria</w:t>
            </w:r>
            <w:proofErr w:type="spellEnd"/>
            <w:r>
              <w:rPr>
                <w:color w:val="000000"/>
                <w:sz w:val="17"/>
                <w:szCs w:val="17"/>
              </w:rPr>
              <w:t>}} 2026.</w:t>
            </w:r>
          </w:p>
          <w:p w14:paraId="253D1D37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Aplicación retrospectiva de la metodología EBR (D6 / D6-DEV) a cada cliente del período.</w:t>
            </w:r>
          </w:p>
          <w:p w14:paraId="253D1D38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Presentación extemporánea de avisos SAT para operaciones que superaban umbral y no fueron reportadas (actuación espontánea — Art. 47 Reglamento).</w:t>
            </w:r>
          </w:p>
          <w:p w14:paraId="253D1D39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Documento soporte: D0A — Acta de Regularización Histórica (incluye registro anexo de operaciones regularizadas).</w:t>
            </w:r>
          </w:p>
          <w:p w14:paraId="253D1D3A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• Resultado esperado: 100% de operaciones documentadas, avisos extemporáneos presentados con acuses SPPLD, beneficio de actuación espontánea (reducción de multas hasta 50%).</w:t>
            </w:r>
          </w:p>
          <w:p w14:paraId="253D1D3B" w14:textId="77777777" w:rsidR="007850A9" w:rsidRDefault="0000000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FASE 5 — AUDITORÍA DE CIERRE (Ejecutada después del 15 de {{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Fecha_Inicio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>}}):</w:t>
            </w:r>
          </w:p>
          <w:p w14:paraId="253D1D3C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Verificación de que el programa Certus PLD opera conforme a la normatividad vigente.</w:t>
            </w:r>
          </w:p>
          <w:p w14:paraId="253D1D3D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Revisión de que la Fase 0 fue completada correctamente (D0A integrada como soporte).</w:t>
            </w:r>
          </w:p>
          <w:p w14:paraId="253D1D3E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Muestreo y revisión de expedientes KYC, EBR, PEPs, ROIs, capacitación, resguardo documental.</w:t>
            </w:r>
          </w:p>
          <w:p w14:paraId="253D1D3F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Opinión global reflejada en el D13 — Informe de Auditoría PLD, que consolidará tanto el resultado de la regularización como el estado operativo del programa.</w:t>
            </w:r>
          </w:p>
          <w:p w14:paraId="253D1D40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• Papeles de trabajo: PT-00 a PT-09 (soportan auditoría de Fase 5; Fase 0 queda documentada en D0A integrado a PT-00).</w:t>
            </w:r>
          </w:p>
        </w:tc>
      </w:tr>
    </w:tbl>
    <w:p w14:paraId="253D1D42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850A9" w14:paraId="253D1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43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III.  OBJETIVO Y ALCANCE DE LA AUDITORÍA</w:t>
            </w:r>
          </w:p>
        </w:tc>
      </w:tr>
      <w:tr w:rsidR="007850A9" w14:paraId="253D1D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5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Objetivo general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6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Verificar que el Programa Certus PLD opera de manera efectiva y conforme a las obligaciones establecidas por la LFPIORPI y su Reglamento, en el período completo desde junio 2025 hasta {{</w:t>
            </w:r>
            <w:proofErr w:type="spellStart"/>
            <w:r>
              <w:rPr>
                <w:color w:val="000000"/>
                <w:sz w:val="17"/>
                <w:szCs w:val="17"/>
              </w:rPr>
              <w:t>Fecha_Cierre</w:t>
            </w:r>
            <w:proofErr w:type="spellEnd"/>
            <w:r>
              <w:rPr>
                <w:color w:val="000000"/>
                <w:sz w:val="17"/>
                <w:szCs w:val="17"/>
              </w:rPr>
              <w:t>}}, incluyendo la regularización histórica de operaciones previas a la implementación del programa.</w:t>
            </w:r>
          </w:p>
        </w:tc>
      </w:tr>
      <w:tr w:rsidR="007850A9" w14:paraId="253D1D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8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Alcance temporal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9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Período completo: junio 2025 — {{</w:t>
            </w:r>
            <w:proofErr w:type="spellStart"/>
            <w:r>
              <w:rPr>
                <w:color w:val="000000"/>
                <w:sz w:val="17"/>
                <w:szCs w:val="17"/>
              </w:rPr>
              <w:t>Fecha_Cierre</w:t>
            </w:r>
            <w:proofErr w:type="spellEnd"/>
            <w:r>
              <w:rPr>
                <w:color w:val="000000"/>
                <w:sz w:val="17"/>
                <w:szCs w:val="17"/>
              </w:rPr>
              <w:t>}} (cubriendo la entrada en vigor de la reforma LFPIORPI — 17 julio 2025).</w:t>
            </w:r>
          </w:p>
        </w:tc>
      </w:tr>
      <w:tr w:rsidR="007850A9" w14:paraId="253D1D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B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Alcance por módulos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C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10 módulos operacionales del Programa Certus PLD, más verificación del proceso de regularización histórica (D0A).</w:t>
            </w:r>
          </w:p>
        </w:tc>
      </w:tr>
      <w:tr w:rsidR="007850A9" w14:paraId="253D1D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E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Limitaciones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F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Ninguna. Se cuenta con acceso total a documentación de Fase 0 (D0A + anexo de operaciones regularizadas) y a los expedientes operacionales del período.</w:t>
            </w:r>
          </w:p>
        </w:tc>
      </w:tr>
    </w:tbl>
    <w:p w14:paraId="253D1D51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2730"/>
        <w:gridCol w:w="3644"/>
        <w:gridCol w:w="2166"/>
      </w:tblGrid>
      <w:tr w:rsidR="007850A9" w14:paraId="253D1D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26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2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IV.  MODULOS A AUDITAR (FASE 5)</w:t>
            </w:r>
          </w:p>
        </w:tc>
      </w:tr>
      <w:tr w:rsidR="007850A9" w14:paraId="253D1D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4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5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6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DOCUMENTO(S) REFERENCIA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</w:tr>
      <w:tr w:rsidR="007850A9" w14:paraId="253D1D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9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Planeación de auditoría + Regularización Fase 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D0A + cronograma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C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10 días</w:t>
            </w:r>
          </w:p>
        </w:tc>
      </w:tr>
      <w:tr w:rsidR="007850A9" w14:paraId="253D1D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E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documental integral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D0-D13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1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Kit completo</w:t>
            </w:r>
          </w:p>
        </w:tc>
      </w:tr>
      <w:tr w:rsidR="007850A9" w14:paraId="253D1D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3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y avisos SAT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D3, D12, D0A (anexo)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6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Jun 2025–{{</w:t>
            </w:r>
            <w:proofErr w:type="spellStart"/>
            <w:r>
              <w:rPr>
                <w:color w:val="000000"/>
                <w:sz w:val="16"/>
                <w:szCs w:val="16"/>
              </w:rPr>
              <w:t>Mes_Anterior_Auditoria</w:t>
            </w:r>
            <w:proofErr w:type="spellEnd"/>
            <w:r>
              <w:rPr>
                <w:color w:val="000000"/>
                <w:sz w:val="16"/>
                <w:szCs w:val="16"/>
              </w:rPr>
              <w:t>}} + actuación espontánea</w:t>
            </w:r>
          </w:p>
        </w:tc>
      </w:tr>
      <w:tr w:rsidR="007850A9" w14:paraId="253D1D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8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Muestreo KYC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D7 / D7-DEV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B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Min. 20% + 100% riesgo alto/PEPs</w:t>
            </w:r>
          </w:p>
        </w:tc>
      </w:tr>
      <w:tr w:rsidR="007850A9" w14:paraId="253D1D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D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Evaluación EBR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D6 / D6-DEV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0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Aplicación a universo cliente</w:t>
            </w:r>
          </w:p>
        </w:tc>
      </w:tr>
      <w:tr w:rsidR="007850A9" w14:paraId="253D1D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2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Política PEPs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5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Identificación y diligencia reforzada</w:t>
            </w:r>
          </w:p>
        </w:tc>
      </w:tr>
      <w:tr w:rsidR="007850A9" w14:paraId="253D1D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Reportes ROI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A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Detección y reporte de operaciones inusuales</w:t>
            </w:r>
          </w:p>
        </w:tc>
      </w:tr>
      <w:tr w:rsidR="007850A9" w14:paraId="253D1D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C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D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Programa de capacitación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D11, D11B, D11C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F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Personal del área PLD</w:t>
            </w:r>
          </w:p>
        </w:tc>
      </w:tr>
      <w:tr w:rsidR="007850A9" w14:paraId="253D1D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1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2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4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Integridad, acceso, plazo 5 años</w:t>
            </w:r>
          </w:p>
        </w:tc>
      </w:tr>
      <w:tr w:rsidR="007850A9" w14:paraId="253D1D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6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7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Conclusión y cruce con D13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D13 + todos PT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9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Opinión global y plan de remediación</w:t>
            </w:r>
          </w:p>
        </w:tc>
      </w:tr>
    </w:tbl>
    <w:p w14:paraId="253D1D8B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3600"/>
        <w:gridCol w:w="3660"/>
      </w:tblGrid>
      <w:tr w:rsidR="007850A9" w14:paraId="253D1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C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V.  CRONOGRAMA EJECUTIVO (FASE 5 — 10 DÍAS HÁBILES)</w:t>
            </w:r>
          </w:p>
        </w:tc>
      </w:tr>
      <w:tr w:rsidR="007850A9" w14:paraId="253D1D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E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Semana 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F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documental general (D0-D13), inicio SPPLD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1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PT-01, PT-02 (inicio)</w:t>
            </w:r>
          </w:p>
        </w:tc>
      </w:tr>
      <w:tr w:rsidR="007850A9" w14:paraId="253D1D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3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4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Verificación completa SPPLD + avisos mensuales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6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PT-02 (cierre)</w:t>
            </w:r>
          </w:p>
        </w:tc>
      </w:tr>
      <w:tr w:rsidR="007850A9" w14:paraId="253D1D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8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9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Selección muestra KYC + muestreo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PT-03 (día 1)</w:t>
            </w:r>
          </w:p>
        </w:tc>
      </w:tr>
      <w:tr w:rsidR="007850A9" w14:paraId="253D1D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D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E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Continuación muestreo KYC + evaluación EBR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PT-03 (cierre), PT-04</w:t>
            </w:r>
          </w:p>
        </w:tc>
      </w:tr>
      <w:tr w:rsidR="007850A9" w14:paraId="253D1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2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3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PEPs + ROIs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PT-05, PT-06</w:t>
            </w:r>
          </w:p>
        </w:tc>
      </w:tr>
      <w:tr w:rsidR="007850A9" w14:paraId="253D1D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Semana 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8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Capacitación + resguardo documental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PT-07, PT-08</w:t>
            </w:r>
          </w:p>
        </w:tc>
      </w:tr>
      <w:tr w:rsidR="007850A9" w14:paraId="253D1D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C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D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transversal + coherencia sistémica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(inicio)</w:t>
            </w:r>
          </w:p>
        </w:tc>
      </w:tr>
      <w:tr w:rsidR="007850A9" w14:paraId="253D1D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1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2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Consolidación de hallazgos + propuesta de opinión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(continuación)</w:t>
            </w:r>
          </w:p>
        </w:tc>
      </w:tr>
      <w:tr w:rsidR="007850A9" w14:paraId="253D1D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6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7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Resolución de pendientes + Acta de Cierre (ACTA-02)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(cierre)</w:t>
            </w:r>
          </w:p>
        </w:tc>
      </w:tr>
      <w:tr w:rsidR="007850A9" w14:paraId="253D1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B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C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D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Redacción final D13 + entrega de informe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D13 entregable</w:t>
            </w:r>
          </w:p>
        </w:tc>
      </w:tr>
    </w:tbl>
    <w:p w14:paraId="253D1DC0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6"/>
        <w:gridCol w:w="5974"/>
        <w:gridCol w:w="340"/>
      </w:tblGrid>
      <w:tr w:rsidR="007850A9" w14:paraId="253D1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1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VI.  CRITERIOS DE CALIFICACIÓN (SEMÁFORO)</w:t>
            </w:r>
          </w:p>
        </w:tc>
      </w:tr>
      <w:tr w:rsidR="007850A9" w14:paraId="253D1D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3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VERDE — SATISFACTORIO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Cumple totalmente. Control operativo, documentación completa, sin incumplimientos formales a la LFPIORPI.</w:t>
            </w:r>
          </w:p>
        </w:tc>
      </w:tr>
      <w:tr w:rsidR="007850A9" w14:paraId="253D1D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6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AMARILLO — OBSERVACIÓN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7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Deficiencia menor. Plan de remediación de corto plazo (30-60 días). No constituye incumplimiento formal.</w:t>
            </w:r>
          </w:p>
        </w:tc>
      </w:tr>
      <w:tr w:rsidR="007850A9" w14:paraId="253D1D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9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ROJO — INCUMPLIMIENTO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Falta formal a la LFPIORPI. Acción correctiva inmediata requerida. Asentada en D13 como hallazgo de </w:t>
            </w:r>
            <w:proofErr w:type="spellStart"/>
            <w:r>
              <w:rPr>
                <w:color w:val="000000"/>
                <w:sz w:val="16"/>
                <w:szCs w:val="16"/>
              </w:rPr>
              <w:t>auditoria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</w:tbl>
    <w:p w14:paraId="253D1DCC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50A9" w14:paraId="253D1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D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VII.  FIRMAS DE INICIO — CONFORMIDAD CON LA PLANEACIÓN</w:t>
            </w:r>
          </w:p>
        </w:tc>
      </w:tr>
      <w:tr w:rsidR="007850A9" w14:paraId="253D1D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F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D0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D1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ÓRGANO DE ADMINISTRACIÓN</w:t>
            </w:r>
          </w:p>
        </w:tc>
      </w:tr>
      <w:tr w:rsidR="007850A9" w14:paraId="253D1D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3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4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5" w14:textId="77777777" w:rsidR="007850A9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Jose Luis Naranjo Bobadilla</w:t>
            </w:r>
          </w:p>
          <w:p w14:paraId="253D1DD6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Bufete </w:t>
            </w:r>
            <w:proofErr w:type="spellStart"/>
            <w:r>
              <w:rPr>
                <w:color w:val="000000"/>
                <w:sz w:val="15"/>
                <w:szCs w:val="15"/>
              </w:rPr>
              <w:t>Juridico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/ Certus Consultores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7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8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9" w14:textId="77777777" w:rsidR="007850A9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6"/>
                <w:szCs w:val="16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>}}</w:t>
            </w:r>
          </w:p>
          <w:p w14:paraId="253D1DDA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Representante de Cumplimiento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B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C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D" w14:textId="77777777" w:rsidR="007850A9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6"/>
                <w:szCs w:val="16"/>
              </w:rPr>
              <w:t>Testigo_Nombre</w:t>
            </w:r>
            <w:proofErr w:type="spellEnd"/>
            <w:r>
              <w:rPr>
                <w:b/>
                <w:bCs/>
                <w:color w:val="1B2A4A"/>
                <w:sz w:val="16"/>
                <w:szCs w:val="16"/>
              </w:rPr>
              <w:t>}}</w:t>
            </w:r>
          </w:p>
          <w:p w14:paraId="253D1DDE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Testigo / Órgano de Administración</w:t>
            </w:r>
          </w:p>
        </w:tc>
      </w:tr>
    </w:tbl>
    <w:p w14:paraId="253D1DE0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50A9" w14:paraId="253D1D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D1DE1" w14:textId="77777777" w:rsidR="007850A9" w:rsidRDefault="00000000">
            <w:pPr>
              <w:spacing w:after="60"/>
            </w:pPr>
            <w:r>
              <w:rPr>
                <w:b/>
                <w:bCs/>
                <w:color w:val="555500"/>
                <w:sz w:val="16"/>
                <w:szCs w:val="16"/>
              </w:rPr>
              <w:t>NOTA SOBRE ESTRUCTURA Y OBJETIVOS:</w:t>
            </w:r>
          </w:p>
          <w:p w14:paraId="253D1DE2" w14:textId="77777777" w:rsidR="007850A9" w:rsidRDefault="00000000">
            <w:pPr>
              <w:spacing w:after="80"/>
            </w:pPr>
            <w:r>
              <w:rPr>
                <w:color w:val="555500"/>
                <w:sz w:val="15"/>
                <w:szCs w:val="15"/>
              </w:rPr>
              <w:t>La estructura dual (Fase 0 + Fase 5) asegura que la empresa inicia sin deficiencias retroactivas. El D0A queda integrado como soporte en este PT-00 y en el PT-09, documentando la actuación espontánea que reduce multas hasta 50% (Art. 47 Reglamento). Si al cierre de la Fase 5 todos los módulos están en verde o amarillo, el D13 emite una opinión de cumplimiento efectivo respaldada por la regularización histórica.</w:t>
            </w:r>
          </w:p>
        </w:tc>
      </w:tr>
    </w:tbl>
    <w:p w14:paraId="253D1DE4" w14:textId="77777777" w:rsidR="001A045A" w:rsidRDefault="001A045A"/>
    <w:sectPr w:rsidR="001A045A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CE7B" w14:textId="77777777" w:rsidR="001A045A" w:rsidRDefault="001A045A">
      <w:r>
        <w:separator/>
      </w:r>
    </w:p>
  </w:endnote>
  <w:endnote w:type="continuationSeparator" w:id="0">
    <w:p w14:paraId="4B05E770" w14:textId="77777777" w:rsidR="001A045A" w:rsidRDefault="001A0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1DEA" w14:textId="45FC0255" w:rsidR="007850A9" w:rsidRDefault="00000000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| Certus PLD | PT-00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4A79" w14:textId="77777777" w:rsidR="001A045A" w:rsidRDefault="001A045A">
      <w:r>
        <w:separator/>
      </w:r>
    </w:p>
  </w:footnote>
  <w:footnote w:type="continuationSeparator" w:id="0">
    <w:p w14:paraId="5E6C96F1" w14:textId="77777777" w:rsidR="001A045A" w:rsidRDefault="001A0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7850A9" w14:paraId="253D1DE8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53D1DE4" w14:textId="54CE39A4" w:rsidR="007850A9" w:rsidRDefault="00000000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B47DC8" w:rsidRPr="00B47DC8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53D1DE5" w14:textId="77777777" w:rsidR="007850A9" w:rsidRDefault="00000000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00  Cédula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Planeación de Auditoría (Fase 0 + Fase 5)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53D1DE6" w14:textId="77777777" w:rsidR="007850A9" w:rsidRDefault="00000000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53D1DE7" w14:textId="77777777" w:rsidR="007850A9" w:rsidRDefault="00000000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53D1DE9" w14:textId="77777777" w:rsidR="007850A9" w:rsidRDefault="007850A9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650"/>
    <w:multiLevelType w:val="hybridMultilevel"/>
    <w:tmpl w:val="DE064AAC"/>
    <w:lvl w:ilvl="0" w:tplc="18FCFE3E">
      <w:start w:val="1"/>
      <w:numFmt w:val="bullet"/>
      <w:lvlText w:val="●"/>
      <w:lvlJc w:val="left"/>
      <w:pPr>
        <w:ind w:left="720" w:hanging="360"/>
      </w:pPr>
    </w:lvl>
    <w:lvl w:ilvl="1" w:tplc="191481FA">
      <w:start w:val="1"/>
      <w:numFmt w:val="bullet"/>
      <w:lvlText w:val="○"/>
      <w:lvlJc w:val="left"/>
      <w:pPr>
        <w:ind w:left="1440" w:hanging="360"/>
      </w:pPr>
    </w:lvl>
    <w:lvl w:ilvl="2" w:tplc="D360B8DC">
      <w:start w:val="1"/>
      <w:numFmt w:val="bullet"/>
      <w:lvlText w:val="■"/>
      <w:lvlJc w:val="left"/>
      <w:pPr>
        <w:ind w:left="2160" w:hanging="360"/>
      </w:pPr>
    </w:lvl>
    <w:lvl w:ilvl="3" w:tplc="4FB65F86">
      <w:start w:val="1"/>
      <w:numFmt w:val="bullet"/>
      <w:lvlText w:val="●"/>
      <w:lvlJc w:val="left"/>
      <w:pPr>
        <w:ind w:left="2880" w:hanging="360"/>
      </w:pPr>
    </w:lvl>
    <w:lvl w:ilvl="4" w:tplc="F8FED62C">
      <w:start w:val="1"/>
      <w:numFmt w:val="bullet"/>
      <w:lvlText w:val="○"/>
      <w:lvlJc w:val="left"/>
      <w:pPr>
        <w:ind w:left="3600" w:hanging="360"/>
      </w:pPr>
    </w:lvl>
    <w:lvl w:ilvl="5" w:tplc="1728BB8C">
      <w:start w:val="1"/>
      <w:numFmt w:val="bullet"/>
      <w:lvlText w:val="■"/>
      <w:lvlJc w:val="left"/>
      <w:pPr>
        <w:ind w:left="4320" w:hanging="360"/>
      </w:pPr>
    </w:lvl>
    <w:lvl w:ilvl="6" w:tplc="7AAEFB62">
      <w:start w:val="1"/>
      <w:numFmt w:val="bullet"/>
      <w:lvlText w:val="●"/>
      <w:lvlJc w:val="left"/>
      <w:pPr>
        <w:ind w:left="5040" w:hanging="360"/>
      </w:pPr>
    </w:lvl>
    <w:lvl w:ilvl="7" w:tplc="79E4A456">
      <w:start w:val="1"/>
      <w:numFmt w:val="bullet"/>
      <w:lvlText w:val="●"/>
      <w:lvlJc w:val="left"/>
      <w:pPr>
        <w:ind w:left="5760" w:hanging="360"/>
      </w:pPr>
    </w:lvl>
    <w:lvl w:ilvl="8" w:tplc="2A987580">
      <w:start w:val="1"/>
      <w:numFmt w:val="bullet"/>
      <w:lvlText w:val="●"/>
      <w:lvlJc w:val="left"/>
      <w:pPr>
        <w:ind w:left="6480" w:hanging="360"/>
      </w:pPr>
    </w:lvl>
  </w:abstractNum>
  <w:num w:numId="1" w16cid:durableId="408769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A9"/>
    <w:rsid w:val="001A045A"/>
    <w:rsid w:val="003D53FF"/>
    <w:rsid w:val="007850A9"/>
    <w:rsid w:val="008B629A"/>
    <w:rsid w:val="00B4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1D09"/>
  <w15:docId w15:val="{A826E103-9563-4BAA-8927-C4F4C39F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47D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DC8"/>
  </w:style>
  <w:style w:type="paragraph" w:styleId="Piedepgina">
    <w:name w:val="footer"/>
    <w:basedOn w:val="Normal"/>
    <w:link w:val="PiedepginaCar"/>
    <w:uiPriority w:val="99"/>
    <w:unhideWhenUsed/>
    <w:rsid w:val="00B47D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939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2026-05-31T01:10:00Z</dcterms:created>
  <dcterms:modified xsi:type="dcterms:W3CDTF">2026-05-31T13:46:00Z</dcterms:modified>
</cp:coreProperties>
</file>