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1F3864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CERTUS PLD</w:t>
            </w:r>
            <w:r>
              <w:rPr>
                <w:rFonts w:ascii="Calibri" w:cs="Calibri" w:eastAsia="Calibri" w:hAnsi="Calibri"/>
                <w:color w:val="B08D57"/>
                <w:sz w:val="22"/>
                <w:szCs w:val="22"/>
              </w:rPr>
              <w:t xml:space="preserve">   |   </w:t>
            </w:r>
            <w:r>
              <w:rPr>
                <w:rFonts w:ascii="Calibri" w:cs="Calibri" w:eastAsia="Calibri" w:hAnsi="Calibri"/>
                <w:b/>
                <w:bCs/>
                <w:color w:val="B08D57"/>
                <w:sz w:val="22"/>
                <w:szCs w:val="22"/>
              </w:rPr>
              <w:t xml:space="preserve">D11-C NOT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Evaluación de Comprensión — Certus PLD (Notarías)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color w:val="D9D9D9"/>
                <w:sz w:val="18"/>
                <w:szCs w:val="18"/>
              </w:rPr>
              <w:t xml:space="preserve">Notaría: [Denominación de la Notaría]   │   Variante: Fe Pública — Fracción XII LFPIORPI</w:t>
            </w:r>
          </w:p>
        </w:tc>
      </w:tr>
    </w:tbl>
    <w:p/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50"/>
      </w:tblGrid>
      <w:tr>
        <w:tc>
          <w:tcPr>
            <w:tcW w:type="dxa" w:w="30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Nombre del participante:</w:t>
            </w:r>
          </w:p>
        </w:tc>
        <w:tc>
          <w:tcPr>
            <w:tcW w:type="dxa" w:w="63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Cargo:</w:t>
            </w:r>
          </w:p>
        </w:tc>
        <w:tc>
          <w:tcPr>
            <w:tcW w:type="dxa" w:w="63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Notaría:</w:t>
            </w:r>
          </w:p>
        </w:tc>
        <w:tc>
          <w:tcPr>
            <w:tcW w:type="dxa" w:w="63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[Denominación completa]</w:t>
            </w:r>
          </w:p>
        </w:tc>
      </w:tr>
      <w:tr>
        <w:tc>
          <w:tcPr>
            <w:tcW w:type="dxa" w:w="30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Grupo:</w:t>
            </w:r>
          </w:p>
        </w:tc>
        <w:tc>
          <w:tcPr>
            <w:tcW w:type="dxa" w:w="63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 ] G1  [ ] G2  [ ] G3  [ ] G4</w:t>
            </w:r>
          </w:p>
        </w:tc>
      </w:tr>
      <w:tr>
        <w:tc>
          <w:tcPr>
            <w:tcW w:type="dxa" w:w="30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Fecha:</w:t>
            </w:r>
          </w:p>
        </w:tc>
        <w:tc>
          <w:tcPr>
            <w:tcW w:type="dxa" w:w="63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Módulos evaluados:</w:t>
            </w:r>
          </w:p>
        </w:tc>
        <w:tc>
          <w:tcPr>
            <w:tcW w:type="dxa" w:w="63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[ ] 1  [ ] 2  [ ] 3  [ ] 4  [ ] 5  [ ] 6</w:t>
            </w:r>
          </w:p>
        </w:tc>
      </w:tr>
      <w:tr>
        <w:tc>
          <w:tcPr>
            <w:tcW w:type="dxa" w:w="30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Calificación:</w:t>
            </w:r>
          </w:p>
        </w:tc>
        <w:tc>
          <w:tcPr>
            <w:tcW w:type="dxa" w:w="63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_____ / 20 puntos   │   [ ] APROBADO (≥14)   [ ] REPROBADO (&lt;14)</w:t>
            </w:r>
          </w:p>
        </w:tc>
      </w:tr>
      <w:tr>
        <w:tc>
          <w:tcPr>
            <w:tcW w:type="dxa" w:w="3000"/>
            <w:shd w:fill="EDEDED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Programa:</w:t>
            </w:r>
          </w:p>
        </w:tc>
        <w:tc>
          <w:tcPr>
            <w:tcW w:type="dxa" w:w="635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Certus PLD │ CERTUS CONSULTORES</w:t>
            </w:r>
          </w:p>
        </w:tc>
      </w:tr>
    </w:tbl>
    <w:p/>
    <w:p>
      <w:pPr>
        <w:spacing w:after="9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INSTRUCCIONES: Seleccione la respuesta correcta en cada pregunta de opción múltiple (2 pts c/u). La pregunta 10 es abierta (2 pts). Puntaje máximo: 20 pts. Mínimo aprobatorio: 14 pts.</w:t>
      </w:r>
    </w:p>
    <w:p>
      <w:pPr>
        <w:pBdr>
          <w:bottom w:val="single" w:color="B08D57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A1628"/>
          <w:sz w:val="21"/>
          <w:szCs w:val="21"/>
        </w:rPr>
        <w:t xml:space="preserve">Preguntas de opción múltiple (9 x 2 pts = 18 pts)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19"/>
          <w:szCs w:val="19"/>
        </w:rPr>
        <w:t xml:space="preserve">Pregunta 1 — Marco normativo (Módulo 1)</w:t>
      </w:r>
    </w:p>
    <w:p>
      <w:pPr>
        <w:spacing w:after="90"/>
      </w:pPr>
      <w:r>
        <w:rPr>
          <w:rFonts w:ascii="Calibri" w:cs="Calibri" w:eastAsia="Calibri" w:hAnsi="Calibri"/>
          <w:sz w:val="20"/>
          <w:szCs w:val="20"/>
        </w:rPr>
        <w:t xml:space="preserve">¿Cuáles incisos de la Fracción XII, Apartado A, son SIEMPRE objeto de aviso, sin importar el monto del acto?</w:t>
      </w:r>
    </w:p>
    <w:p>
      <w:pPr>
        <w:spacing w:after="30"/>
        <w:ind w:left="300"/>
      </w:pPr>
      <w:r>
        <w:rPr>
          <w:rFonts w:ascii="Calibri" w:cs="Calibri" w:eastAsia="Calibri" w:hAnsi="Calibri"/>
          <w:sz w:val="20"/>
          <w:szCs w:val="20"/>
        </w:rPr>
        <w:t xml:space="preserve">[ ] A) Únicamente el inciso a) — transmisión de inmuebles</w:t>
      </w:r>
    </w:p>
    <w:p>
      <w:pPr>
        <w:spacing w:after="30"/>
        <w:ind w:left="300"/>
      </w:pPr>
      <w:r>
        <w:rPr>
          <w:rFonts w:ascii="Calibri" w:cs="Calibri" w:eastAsia="Calibri" w:hAnsi="Calibri"/>
          <w:sz w:val="20"/>
          <w:szCs w:val="20"/>
        </w:rPr>
        <w:t xml:space="preserve">[ ] B) Los incisos b), c) y e) — poderes irrevocables, sociedades y mutuos</w:t>
      </w:r>
    </w:p>
    <w:p>
      <w:pPr>
        <w:spacing w:after="30"/>
        <w:ind w:left="300"/>
      </w:pPr>
      <w:r>
        <w:rPr>
          <w:rFonts w:ascii="Calibri" w:cs="Calibri" w:eastAsia="Calibri" w:hAnsi="Calibri"/>
          <w:sz w:val="20"/>
          <w:szCs w:val="20"/>
        </w:rPr>
        <w:t xml:space="preserve">[ ] C) Únicamente el inciso d) — fideicomisos</w:t>
      </w:r>
    </w:p>
    <w:p>
      <w:pPr>
        <w:spacing w:after="30"/>
        <w:ind w:left="300"/>
      </w:pPr>
      <w:r>
        <w:rPr>
          <w:rFonts w:ascii="Calibri" w:cs="Calibri" w:eastAsia="Calibri" w:hAnsi="Calibri"/>
          <w:sz w:val="20"/>
          <w:szCs w:val="20"/>
        </w:rPr>
        <w:t xml:space="preserve">[ ] D) Ninguno; todos los incisos tienen umbral en UMA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19"/>
          <w:szCs w:val="19"/>
        </w:rPr>
        <w:t xml:space="preserve">Pregunta 2 — UMA y umbrales (Módulo 1)</w:t>
      </w:r>
    </w:p>
    <w:p>
      <w:pPr>
        <w:spacing w:after="90"/>
      </w:pPr>
      <w:r>
        <w:rPr>
          <w:rFonts w:ascii="Calibri" w:cs="Calibri" w:eastAsia="Calibri" w:hAnsi="Calibri"/>
          <w:sz w:val="20"/>
          <w:szCs w:val="20"/>
        </w:rPr>
        <w:t xml:space="preserve">¿Cuál es el umbral de aviso al SAT para la transmisión de un inmueble conforme al inciso a) (UMA 2026)?</w:t>
      </w:r>
    </w:p>
    <w:p>
      <w:pPr>
        <w:spacing w:after="30"/>
        <w:ind w:left="300"/>
      </w:pPr>
      <w:r>
        <w:rPr>
          <w:rFonts w:ascii="Calibri" w:cs="Calibri" w:eastAsia="Calibri" w:hAnsi="Calibri"/>
          <w:sz w:val="20"/>
          <w:szCs w:val="20"/>
        </w:rPr>
        <w:t xml:space="preserve">[ ] A) $500,000 MXN</w:t>
      </w:r>
    </w:p>
    <w:p>
      <w:pPr>
        <w:spacing w:after="30"/>
        <w:ind w:left="300"/>
      </w:pPr>
      <w:r>
        <w:rPr>
          <w:rFonts w:ascii="Calibri" w:cs="Calibri" w:eastAsia="Calibri" w:hAnsi="Calibri"/>
          <w:sz w:val="20"/>
          <w:szCs w:val="20"/>
        </w:rPr>
        <w:t xml:space="preserve">[ ] B) $938,480 MXN (8,000 UMA)</w:t>
      </w:r>
    </w:p>
    <w:p>
      <w:pPr>
        <w:spacing w:after="30"/>
        <w:ind w:left="300"/>
      </w:pPr>
      <w:r>
        <w:rPr>
          <w:rFonts w:ascii="Calibri" w:cs="Calibri" w:eastAsia="Calibri" w:hAnsi="Calibri"/>
          <w:sz w:val="20"/>
          <w:szCs w:val="20"/>
        </w:rPr>
        <w:t xml:space="preserve">[ ] C) $941,512 MXN (8,025 UMA)</w:t>
      </w:r>
    </w:p>
    <w:p>
      <w:pPr>
        <w:spacing w:after="30"/>
        <w:ind w:left="300"/>
      </w:pPr>
      <w:r>
        <w:rPr>
          <w:rFonts w:ascii="Calibri" w:cs="Calibri" w:eastAsia="Calibri" w:hAnsi="Calibri"/>
          <w:sz w:val="20"/>
          <w:szCs w:val="20"/>
        </w:rPr>
        <w:t xml:space="preserve">[ ] D) No existe umbral; siempre se presenta aviso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19"/>
          <w:szCs w:val="19"/>
        </w:rPr>
        <w:t xml:space="preserve">Pregunta 3 — Señales de alerta (Módulo 2)</w:t>
      </w:r>
    </w:p>
    <w:p>
      <w:pPr>
        <w:spacing w:after="90"/>
      </w:pPr>
      <w:r>
        <w:rPr>
          <w:rFonts w:ascii="Calibri" w:cs="Calibri" w:eastAsia="Calibri" w:hAnsi="Calibri"/>
          <w:sz w:val="20"/>
          <w:szCs w:val="20"/>
        </w:rPr>
        <w:t xml:space="preserve">Un cliente ofrece pagar $700,000 MXN en efectivo por un inmueble y no explica el origen de esos recursos. ¿Qué corresponde hacer?</w:t>
      </w:r>
    </w:p>
    <w:p>
      <w:pPr>
        <w:spacing w:after="30"/>
        <w:ind w:left="300"/>
      </w:pPr>
      <w:r>
        <w:rPr>
          <w:rFonts w:ascii="Calibri" w:cs="Calibri" w:eastAsia="Calibri" w:hAnsi="Calibri"/>
          <w:sz w:val="20"/>
          <w:szCs w:val="20"/>
        </w:rPr>
        <w:t xml:space="preserve">[ ] A) Nada; el monto está por debajo del límite del Art. 32, así que no hay obligación alguna</w:t>
      </w:r>
    </w:p>
    <w:p>
      <w:pPr>
        <w:spacing w:after="30"/>
        <w:ind w:left="300"/>
      </w:pPr>
      <w:r>
        <w:rPr>
          <w:rFonts w:ascii="Calibri" w:cs="Calibri" w:eastAsia="Calibri" w:hAnsi="Calibri"/>
          <w:sz w:val="20"/>
          <w:szCs w:val="20"/>
        </w:rPr>
        <w:t xml:space="preserve">[ ] B) Rechazar automáticamente al cliente, sin excepción</w:t>
      </w:r>
    </w:p>
    <w:p>
      <w:pPr>
        <w:spacing w:after="30"/>
        <w:ind w:left="300"/>
      </w:pPr>
      <w:r>
        <w:rPr>
          <w:rFonts w:ascii="Calibri" w:cs="Calibri" w:eastAsia="Calibri" w:hAnsi="Calibri"/>
          <w:sz w:val="20"/>
          <w:szCs w:val="20"/>
        </w:rPr>
        <w:t xml:space="preserve">[ ] C) Aceptar el pago (está permitido) pero exigir soporte del origen de fondos antes de autorizar el instrumento</w:t>
      </w:r>
    </w:p>
    <w:p>
      <w:pPr>
        <w:spacing w:after="30"/>
        <w:ind w:left="300"/>
      </w:pPr>
      <w:r>
        <w:rPr>
          <w:rFonts w:ascii="Calibri" w:cs="Calibri" w:eastAsia="Calibri" w:hAnsi="Calibri"/>
          <w:sz w:val="20"/>
          <w:szCs w:val="20"/>
        </w:rPr>
        <w:t xml:space="preserve">[ ] D) Solo investigar si el cliente es extranjero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19"/>
          <w:szCs w:val="19"/>
        </w:rPr>
        <w:t xml:space="preserve">Pregunta 4 — Beneficiario Controlador (Módulo 3)</w:t>
      </w:r>
    </w:p>
    <w:p>
      <w:pPr>
        <w:spacing w:after="90"/>
      </w:pPr>
      <w:r>
        <w:rPr>
          <w:rFonts w:ascii="Calibri" w:cs="Calibri" w:eastAsia="Calibri" w:hAnsi="Calibri"/>
          <w:sz w:val="20"/>
          <w:szCs w:val="20"/>
        </w:rPr>
        <w:t xml:space="preserve">¿En qué momento debe identificarse al beneficiario controlador de una persona moral que comparece ante el Notario?</w:t>
      </w:r>
    </w:p>
    <w:p>
      <w:pPr>
        <w:spacing w:after="30"/>
        <w:ind w:left="300"/>
      </w:pPr>
      <w:r>
        <w:rPr>
          <w:rFonts w:ascii="Calibri" w:cs="Calibri" w:eastAsia="Calibri" w:hAnsi="Calibri"/>
          <w:sz w:val="20"/>
          <w:szCs w:val="20"/>
        </w:rPr>
        <w:t xml:space="preserve">[ ] A) Después de firmar la escritura, para no retrasar el trámite</w:t>
      </w:r>
    </w:p>
    <w:p>
      <w:pPr>
        <w:spacing w:after="30"/>
        <w:ind w:left="300"/>
      </w:pPr>
      <w:r>
        <w:rPr>
          <w:rFonts w:ascii="Calibri" w:cs="Calibri" w:eastAsia="Calibri" w:hAnsi="Calibri"/>
          <w:sz w:val="20"/>
          <w:szCs w:val="20"/>
        </w:rPr>
        <w:t xml:space="preserve">[ ] B) Solo si el apoderado que comparece lo solicita expresamente</w:t>
      </w:r>
    </w:p>
    <w:p>
      <w:pPr>
        <w:spacing w:after="30"/>
        <w:ind w:left="300"/>
      </w:pPr>
      <w:r>
        <w:rPr>
          <w:rFonts w:ascii="Calibri" w:cs="Calibri" w:eastAsia="Calibri" w:hAnsi="Calibri"/>
          <w:sz w:val="20"/>
          <w:szCs w:val="20"/>
        </w:rPr>
        <w:t xml:space="preserve">[ ] C) ANTES de formalizar el acto, aun si el beneficiario controlador no tiene relación directa y aparente con el compareciente</w:t>
      </w:r>
    </w:p>
    <w:p>
      <w:pPr>
        <w:spacing w:after="30"/>
        <w:ind w:left="300"/>
      </w:pPr>
      <w:r>
        <w:rPr>
          <w:rFonts w:ascii="Calibri" w:cs="Calibri" w:eastAsia="Calibri" w:hAnsi="Calibri"/>
          <w:sz w:val="20"/>
          <w:szCs w:val="20"/>
        </w:rPr>
        <w:t xml:space="preserve">[ ] D) Nunca, si la sociedad ya tiene RFC vigente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19"/>
          <w:szCs w:val="19"/>
        </w:rPr>
        <w:t xml:space="preserve">Pregunta 5 — Origen de fondos (Módulo 3)</w:t>
      </w:r>
    </w:p>
    <w:p>
      <w:pPr>
        <w:spacing w:after="90"/>
      </w:pPr>
      <w:r>
        <w:rPr>
          <w:rFonts w:ascii="Calibri" w:cs="Calibri" w:eastAsia="Calibri" w:hAnsi="Calibri"/>
          <w:sz w:val="20"/>
          <w:szCs w:val="20"/>
        </w:rPr>
        <w:t xml:space="preserve">Un mutuante declara que los recursos que prestará provienen de "ahorros personales". ¿Qué documento de soporte es el más apropiado?</w:t>
      </w:r>
    </w:p>
    <w:p>
      <w:pPr>
        <w:spacing w:after="30"/>
        <w:ind w:left="300"/>
      </w:pPr>
      <w:r>
        <w:rPr>
          <w:rFonts w:ascii="Calibri" w:cs="Calibri" w:eastAsia="Calibri" w:hAnsi="Calibri"/>
          <w:sz w:val="20"/>
          <w:szCs w:val="20"/>
        </w:rPr>
        <w:t xml:space="preserve">[ ] A) Ninguno; basta con la declaración verbal</w:t>
      </w:r>
    </w:p>
    <w:p>
      <w:pPr>
        <w:spacing w:after="30"/>
        <w:ind w:left="300"/>
      </w:pPr>
      <w:r>
        <w:rPr>
          <w:rFonts w:ascii="Calibri" w:cs="Calibri" w:eastAsia="Calibri" w:hAnsi="Calibri"/>
          <w:sz w:val="20"/>
          <w:szCs w:val="20"/>
        </w:rPr>
        <w:t xml:space="preserve">[ ] B) Estados de cuenta bancarios que respalden la acumulación de esos ahorros</w:t>
      </w:r>
    </w:p>
    <w:p>
      <w:pPr>
        <w:spacing w:after="30"/>
        <w:ind w:left="300"/>
      </w:pPr>
      <w:r>
        <w:rPr>
          <w:rFonts w:ascii="Calibri" w:cs="Calibri" w:eastAsia="Calibri" w:hAnsi="Calibri"/>
          <w:sz w:val="20"/>
          <w:szCs w:val="20"/>
        </w:rPr>
        <w:t xml:space="preserve">[ ] C) Solamente su identificación oficial</w:t>
      </w:r>
    </w:p>
    <w:p>
      <w:pPr>
        <w:spacing w:after="30"/>
        <w:ind w:left="300"/>
      </w:pPr>
      <w:r>
        <w:rPr>
          <w:rFonts w:ascii="Calibri" w:cs="Calibri" w:eastAsia="Calibri" w:hAnsi="Calibri"/>
          <w:sz w:val="20"/>
          <w:szCs w:val="20"/>
        </w:rPr>
        <w:t xml:space="preserve">[ ] D) Un comprobante de domicilio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19"/>
          <w:szCs w:val="19"/>
        </w:rPr>
        <w:t xml:space="preserve">Pregunta 6 — PEP's (Módulo 4)</w:t>
      </w:r>
    </w:p>
    <w:p>
      <w:pPr>
        <w:spacing w:after="90"/>
      </w:pPr>
      <w:r>
        <w:rPr>
          <w:rFonts w:ascii="Calibri" w:cs="Calibri" w:eastAsia="Calibri" w:hAnsi="Calibri"/>
          <w:sz w:val="20"/>
          <w:szCs w:val="20"/>
        </w:rPr>
        <w:t xml:space="preserve">Un Director de Obras Públicas municipal comparece a VENDER un inmueble. ¿Aplica el procedimiento de PEP's?</w:t>
      </w:r>
    </w:p>
    <w:p>
      <w:pPr>
        <w:spacing w:after="30"/>
        <w:ind w:left="300"/>
      </w:pPr>
      <w:r>
        <w:rPr>
          <w:rFonts w:ascii="Calibri" w:cs="Calibri" w:eastAsia="Calibri" w:hAnsi="Calibri"/>
          <w:sz w:val="20"/>
          <w:szCs w:val="20"/>
        </w:rPr>
        <w:t xml:space="preserve">[ ] A) No, porque solo aplica a quien compra</w:t>
      </w:r>
    </w:p>
    <w:p>
      <w:pPr>
        <w:spacing w:after="30"/>
        <w:ind w:left="300"/>
      </w:pPr>
      <w:r>
        <w:rPr>
          <w:rFonts w:ascii="Calibri" w:cs="Calibri" w:eastAsia="Calibri" w:hAnsi="Calibri"/>
          <w:sz w:val="20"/>
          <w:szCs w:val="20"/>
        </w:rPr>
        <w:t xml:space="preserve">[ ] B) Sí — la calidad de PEP se evalúa respecto de la persona, sin importar si compra o vende</w:t>
      </w:r>
    </w:p>
    <w:p>
      <w:pPr>
        <w:spacing w:after="30"/>
        <w:ind w:left="300"/>
      </w:pPr>
      <w:r>
        <w:rPr>
          <w:rFonts w:ascii="Calibri" w:cs="Calibri" w:eastAsia="Calibri" w:hAnsi="Calibri"/>
          <w:sz w:val="20"/>
          <w:szCs w:val="20"/>
        </w:rPr>
        <w:t xml:space="preserve">[ ] C) Solo si el valor del inmueble supera $10,000,000 MXN</w:t>
      </w:r>
    </w:p>
    <w:p>
      <w:pPr>
        <w:spacing w:after="30"/>
        <w:ind w:left="300"/>
      </w:pPr>
      <w:r>
        <w:rPr>
          <w:rFonts w:ascii="Calibri" w:cs="Calibri" w:eastAsia="Calibri" w:hAnsi="Calibri"/>
          <w:sz w:val="20"/>
          <w:szCs w:val="20"/>
        </w:rPr>
        <w:t xml:space="preserve">[ ] D) No, porque los cargos municipales no califican como PEP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19"/>
          <w:szCs w:val="19"/>
        </w:rPr>
        <w:t xml:space="preserve">Pregunta 7 — Mutuos y Fideicomisos (Módulo 5)</w:t>
      </w:r>
    </w:p>
    <w:p>
      <w:pPr>
        <w:spacing w:after="90"/>
      </w:pPr>
      <w:r>
        <w:rPr>
          <w:rFonts w:ascii="Calibri" w:cs="Calibri" w:eastAsia="Calibri" w:hAnsi="Calibri"/>
          <w:sz w:val="20"/>
          <w:szCs w:val="20"/>
        </w:rPr>
        <w:t xml:space="preserve">Un contrato de mutuo sin garantía entre dos personas sin vínculo aparente, por $2,000,000 MXN. ¿Qué corresponde?</w:t>
      </w:r>
    </w:p>
    <w:p>
      <w:pPr>
        <w:spacing w:after="30"/>
        <w:ind w:left="300"/>
      </w:pPr>
      <w:r>
        <w:rPr>
          <w:rFonts w:ascii="Calibri" w:cs="Calibri" w:eastAsia="Calibri" w:hAnsi="Calibri"/>
          <w:sz w:val="20"/>
          <w:szCs w:val="20"/>
        </w:rPr>
        <w:t xml:space="preserve">[ ] A) No se presenta aviso porque el mutuo es un acto privado entre particulares</w:t>
      </w:r>
    </w:p>
    <w:p>
      <w:pPr>
        <w:spacing w:after="30"/>
        <w:ind w:left="300"/>
      </w:pPr>
      <w:r>
        <w:rPr>
          <w:rFonts w:ascii="Calibri" w:cs="Calibri" w:eastAsia="Calibri" w:hAnsi="Calibri"/>
          <w:sz w:val="20"/>
          <w:szCs w:val="20"/>
        </w:rPr>
        <w:t xml:space="preserve">[ ] B) Se presenta aviso SOLO si el monto supera 8,000 UMA</w:t>
      </w:r>
    </w:p>
    <w:p>
      <w:pPr>
        <w:spacing w:after="30"/>
        <w:ind w:left="300"/>
      </w:pPr>
      <w:r>
        <w:rPr>
          <w:rFonts w:ascii="Calibri" w:cs="Calibri" w:eastAsia="Calibri" w:hAnsi="Calibri"/>
          <w:sz w:val="20"/>
          <w:szCs w:val="20"/>
        </w:rPr>
        <w:t xml:space="preserve">[ ] C) Se presenta aviso SIEMPRE (inciso e), y el caso amerita evaluarse como riesgo alto conforme al D6-NOT</w:t>
      </w:r>
    </w:p>
    <w:p>
      <w:pPr>
        <w:spacing w:after="30"/>
        <w:ind w:left="300"/>
      </w:pPr>
      <w:r>
        <w:rPr>
          <w:rFonts w:ascii="Calibri" w:cs="Calibri" w:eastAsia="Calibri" w:hAnsi="Calibri"/>
          <w:sz w:val="20"/>
          <w:szCs w:val="20"/>
        </w:rPr>
        <w:t xml:space="preserve">[ ] D) Se presenta aviso solo si una de las partes es persona moral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19"/>
          <w:szCs w:val="19"/>
        </w:rPr>
        <w:t xml:space="preserve">Pregunta 8 — Reportes y avisos (Módulo 6)</w:t>
      </w:r>
    </w:p>
    <w:p>
      <w:pPr>
        <w:spacing w:after="90"/>
      </w:pPr>
      <w:r>
        <w:rPr>
          <w:rFonts w:ascii="Calibri" w:cs="Calibri" w:eastAsia="Calibri" w:hAnsi="Calibri"/>
          <w:sz w:val="20"/>
          <w:szCs w:val="20"/>
        </w:rPr>
        <w:t xml:space="preserve">Si el Notario detecta una señal de sospecha durante la integración de un expediente, ¿en qué plazo debe presentar el Aviso correspondiente?</w:t>
      </w:r>
    </w:p>
    <w:p>
      <w:pPr>
        <w:spacing w:after="30"/>
        <w:ind w:left="300"/>
      </w:pPr>
      <w:r>
        <w:rPr>
          <w:rFonts w:ascii="Calibri" w:cs="Calibri" w:eastAsia="Calibri" w:hAnsi="Calibri"/>
          <w:sz w:val="20"/>
          <w:szCs w:val="20"/>
        </w:rPr>
        <w:t xml:space="preserve">[ ] A) Dentro del mes en curso, junto con los demás avisos</w:t>
      </w:r>
    </w:p>
    <w:p>
      <w:pPr>
        <w:spacing w:after="30"/>
        <w:ind w:left="300"/>
      </w:pPr>
      <w:r>
        <w:rPr>
          <w:rFonts w:ascii="Calibri" w:cs="Calibri" w:eastAsia="Calibri" w:hAnsi="Calibri"/>
          <w:sz w:val="20"/>
          <w:szCs w:val="20"/>
        </w:rPr>
        <w:t xml:space="preserve">[ ] B) Dentro de las 24 horas siguientes a la detección, incluso si el acto no llegó a formalizarse</w:t>
      </w:r>
    </w:p>
    <w:p>
      <w:pPr>
        <w:spacing w:after="30"/>
        <w:ind w:left="300"/>
      </w:pPr>
      <w:r>
        <w:rPr>
          <w:rFonts w:ascii="Calibri" w:cs="Calibri" w:eastAsia="Calibri" w:hAnsi="Calibri"/>
          <w:sz w:val="20"/>
          <w:szCs w:val="20"/>
        </w:rPr>
        <w:t xml:space="preserve">[ ] C) No hay plazo específico; se presenta cuando sea conveniente</w:t>
      </w:r>
    </w:p>
    <w:p>
      <w:pPr>
        <w:spacing w:after="30"/>
        <w:ind w:left="300"/>
      </w:pPr>
      <w:r>
        <w:rPr>
          <w:rFonts w:ascii="Calibri" w:cs="Calibri" w:eastAsia="Calibri" w:hAnsi="Calibri"/>
          <w:sz w:val="20"/>
          <w:szCs w:val="20"/>
        </w:rPr>
        <w:t xml:space="preserve">[ ] D) Solo si el acto se formalizó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19"/>
          <w:szCs w:val="19"/>
        </w:rPr>
        <w:t xml:space="preserve">Pregunta 9 — Sanciones y régimen dual (Módulo 1 y 6)</w:t>
      </w:r>
    </w:p>
    <w:p>
      <w:pPr>
        <w:spacing w:after="90"/>
      </w:pPr>
      <w:r>
        <w:rPr>
          <w:rFonts w:ascii="Calibri" w:cs="Calibri" w:eastAsia="Calibri" w:hAnsi="Calibri"/>
          <w:sz w:val="20"/>
          <w:szCs w:val="20"/>
        </w:rPr>
        <w:t xml:space="preserve">¿Qué distingue al régimen sancionatorio notarial del aplicable a una inmobiliaria?</w:t>
      </w:r>
    </w:p>
    <w:p>
      <w:pPr>
        <w:spacing w:after="30"/>
        <w:ind w:left="300"/>
      </w:pPr>
      <w:r>
        <w:rPr>
          <w:rFonts w:ascii="Calibri" w:cs="Calibri" w:eastAsia="Calibri" w:hAnsi="Calibri"/>
          <w:sz w:val="20"/>
          <w:szCs w:val="20"/>
        </w:rPr>
        <w:t xml:space="preserve">[ ] A) No existe ninguna diferencia; ambos regímenes son idénticos</w:t>
      </w:r>
    </w:p>
    <w:p>
      <w:pPr>
        <w:spacing w:after="30"/>
        <w:ind w:left="300"/>
      </w:pPr>
      <w:r>
        <w:rPr>
          <w:rFonts w:ascii="Calibri" w:cs="Calibri" w:eastAsia="Calibri" w:hAnsi="Calibri"/>
          <w:sz w:val="20"/>
          <w:szCs w:val="20"/>
        </w:rPr>
        <w:t xml:space="preserve">[ ] B) El notario nunca puede ser sancionado, solo la Notaría como entidad</w:t>
      </w:r>
    </w:p>
    <w:p>
      <w:pPr>
        <w:spacing w:after="30"/>
        <w:ind w:left="300"/>
      </w:pPr>
      <w:r>
        <w:rPr>
          <w:rFonts w:ascii="Calibri" w:cs="Calibri" w:eastAsia="Calibri" w:hAnsi="Calibri"/>
          <w:sz w:val="20"/>
          <w:szCs w:val="20"/>
        </w:rPr>
        <w:t xml:space="preserve">[ ] C) Ante "notorias deficiencias", el SAT notifica a la autoridad estatal competente sobre la fe pública (Art. 58), que instaura su propio procedimiento</w:t>
      </w:r>
    </w:p>
    <w:p>
      <w:pPr>
        <w:spacing w:after="30"/>
        <w:ind w:left="300"/>
      </w:pPr>
      <w:r>
        <w:rPr>
          <w:rFonts w:ascii="Calibri" w:cs="Calibri" w:eastAsia="Calibri" w:hAnsi="Calibri"/>
          <w:sz w:val="20"/>
          <w:szCs w:val="20"/>
        </w:rPr>
        <w:t xml:space="preserve">[ ] D) Las multas notariales son siempre menores que las inmobiliarias</w:t>
      </w:r>
    </w:p>
    <w:p>
      <w:pPr>
        <w:pBdr>
          <w:bottom w:val="single" w:color="B08D57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A1628"/>
          <w:sz w:val="21"/>
          <w:szCs w:val="21"/>
        </w:rPr>
        <w:t xml:space="preserve">Pregunta abierta (2 pts)</w:t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19"/>
          <w:szCs w:val="19"/>
        </w:rPr>
        <w:t xml:space="preserve">Pregunta 10 — Responsabilidad personal (Módulo 1)</w:t>
      </w:r>
    </w:p>
    <w:p>
      <w:pPr>
        <w:spacing w:after="90"/>
      </w:pPr>
      <w:r>
        <w:rPr>
          <w:rFonts w:ascii="Calibri" w:cs="Calibri" w:eastAsia="Calibri" w:hAnsi="Calibri"/>
          <w:sz w:val="20"/>
          <w:szCs w:val="20"/>
        </w:rPr>
        <w:t xml:space="preserve">Explique, en sus propias palabras, por qué el Notario Titular no puede designar un "Representante de Cumplimiento" registrable ante el SAT en los mismos términos que una persona moral, y qué papel juega entonces el Encargado Operativo interno mencionado en el D2-NOT.</w:t>
      </w:r>
    </w:p>
    <w:p>
      <w:pPr>
        <w:spacing w:after="9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Respuesta:</w:t>
      </w:r>
    </w:p>
    <w:p>
      <w:pPr>
        <w:spacing w:after="90"/>
      </w:pPr>
      <w:r>
        <w:rPr>
          <w:rFonts w:ascii="Calibri" w:cs="Calibri" w:eastAsia="Calibri" w:hAnsi="Calibri"/>
          <w:sz w:val="20"/>
          <w:szCs w:val="20"/>
        </w:rPr>
        <w:t xml:space="preserve">_______________________________________________________________________</w:t>
      </w:r>
    </w:p>
    <w:p>
      <w:pPr>
        <w:spacing w:after="90"/>
      </w:pPr>
      <w:r>
        <w:rPr>
          <w:rFonts w:ascii="Calibri" w:cs="Calibri" w:eastAsia="Calibri" w:hAnsi="Calibri"/>
          <w:sz w:val="20"/>
          <w:szCs w:val="20"/>
        </w:rPr>
        <w:t xml:space="preserve">_______________________________________________________________________</w:t>
      </w:r>
    </w:p>
    <w:p>
      <w:pPr>
        <w:spacing w:after="90"/>
      </w:pPr>
      <w:r>
        <w:rPr>
          <w:rFonts w:ascii="Calibri" w:cs="Calibri" w:eastAsia="Calibri" w:hAnsi="Calibri"/>
          <w:sz w:val="20"/>
          <w:szCs w:val="20"/>
        </w:rPr>
        <w:t xml:space="preserve">_______________________________________________________________________</w:t>
      </w:r>
    </w:p>
    <w:p/>
    <w:p>
      <w:pPr>
        <w:pBdr>
          <w:top w:val="single" w:color="B08D57" w:sz="4" w:space="4"/>
        </w:pBdr>
        <w:spacing w:before="200"/>
      </w:pPr>
      <w:r>
        <w:rPr>
          <w:rFonts w:ascii="Calibri" w:cs="Calibri" w:eastAsia="Calibri" w:hAnsi="Calibri"/>
          <w:color w:val="808080"/>
          <w:sz w:val="16"/>
          <w:szCs w:val="16"/>
        </w:rPr>
        <w:t xml:space="preserve">CERTUS CONSULTORES  |  Certus PLD  |  Mérida, Yucatán  |  999 163 1363</w:t>
      </w:r>
    </w:p>
    <w:sectPr>
      <w:pgSz w:w="12240" w:h="15840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2026-09-09T01:43:47.330Z</dcterms:created>
  <dcterms:modified xsi:type="dcterms:W3CDTF">2026-09-09T01:43:47.330Z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