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F3864" w:val="clear"/>
            <w:tcMar>
              <w:top w:type="dxa" w:w="140"/>
              <w:left w:type="dxa" w:w="160"/>
              <w:bottom w:type="dxa" w:w="140"/>
              <w:right w:type="dxa" w:w="160"/>
            </w:tcMar>
          </w:tcPr>
          <w:p>
            <w:r>
              <w:rPr>
                <w:rFonts w:ascii="Calibri" w:cs="Calibri" w:eastAsia="Calibri" w:hAnsi="Calibri"/>
                <w:b/>
                <w:bCs/>
                <w:color w:val="FFFFFF"/>
                <w:sz w:val="22"/>
                <w:szCs w:val="22"/>
              </w:rPr>
              <w:t xml:space="preserve">CERTUS PLD</w:t>
            </w:r>
            <w:r>
              <w:rPr>
                <w:rFonts w:ascii="Calibri" w:cs="Calibri" w:eastAsia="Calibri" w:hAnsi="Calibri"/>
                <w:color w:val="B08D57"/>
                <w:sz w:val="22"/>
                <w:szCs w:val="22"/>
              </w:rPr>
              <w:t xml:space="preserve">   |   </w:t>
            </w:r>
            <w:r>
              <w:rPr>
                <w:rFonts w:ascii="Calibri" w:cs="Calibri" w:eastAsia="Calibri" w:hAnsi="Calibri"/>
                <w:b/>
                <w:bCs/>
                <w:color w:val="B08D57"/>
                <w:sz w:val="22"/>
                <w:szCs w:val="22"/>
              </w:rPr>
              <w:t xml:space="preserve">D2-NOT </w:t>
            </w:r>
            <w:r>
              <w:rPr>
                <w:rFonts w:ascii="Calibri" w:cs="Calibri" w:eastAsia="Calibri" w:hAnsi="Calibri"/>
                <w:b/>
                <w:bCs/>
                <w:color w:val="FFFFFF"/>
                <w:sz w:val="22"/>
                <w:szCs w:val="22"/>
              </w:rPr>
              <w:t xml:space="preserve">Constancia de Asunción Personal de Obligaciones PLD/FT</w:t>
            </w:r>
          </w:p>
          <w:p>
            <w:pPr>
              <w:spacing w:before="40"/>
            </w:pPr>
            <w:r>
              <w:rPr>
                <w:rFonts w:ascii="Calibri" w:cs="Calibri" w:eastAsia="Calibri" w:hAnsi="Calibri"/>
                <w:color w:val="D9D9D9"/>
                <w:sz w:val="18"/>
                <w:szCs w:val="18"/>
              </w:rPr>
              <w:t xml:space="preserve">Notaría: [Denominación de la Notaría]   │   Variante: Fe Pública — Fracción XII LFPIORPI</w:t>
            </w:r>
          </w:p>
        </w:tc>
      </w:tr>
    </w:tbl>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c>
          <w:tcPr>
            <w:tcW w:type="dxa" w:w="3200"/>
            <w:shd w:fill="EDEDED" w:val="clear"/>
            <w:tcMar>
              <w:top w:type="dxa" w:w="70"/>
              <w:left w:type="dxa" w:w="90"/>
              <w:bottom w:type="dxa" w:w="70"/>
              <w:right w:type="dxa" w:w="90"/>
            </w:tcMar>
            <w:vAlign w:val="center"/>
          </w:tcPr>
          <w:p>
            <w:r>
              <w:rPr>
                <w:rFonts w:ascii="Calibri" w:cs="Calibri" w:eastAsia="Calibri" w:hAnsi="Calibri"/>
                <w:b/>
                <w:bCs/>
                <w:sz w:val="19"/>
                <w:szCs w:val="19"/>
              </w:rPr>
              <w:t xml:space="preserve">Notario Titular:</w:t>
            </w:r>
          </w:p>
        </w:tc>
        <w:tc>
          <w:tcPr>
            <w:tcW w:type="dxa" w:w="6150"/>
            <w:tcMar>
              <w:top w:type="dxa" w:w="70"/>
              <w:left w:type="dxa" w:w="90"/>
              <w:bottom w:type="dxa" w:w="70"/>
              <w:right w:type="dxa" w:w="90"/>
            </w:tcMar>
            <w:vAlign w:val="center"/>
          </w:tcPr>
          <w:p>
            <w:r>
              <w:rPr>
                <w:rFonts w:ascii="Calibri" w:cs="Calibri" w:eastAsia="Calibri" w:hAnsi="Calibri"/>
                <w:b w:val="false"/>
                <w:bCs w:val="false"/>
                <w:sz w:val="19"/>
                <w:szCs w:val="19"/>
              </w:rPr>
              <w:t xml:space="preserve">[Nombre completo]</w:t>
            </w:r>
          </w:p>
        </w:tc>
      </w:tr>
      <w:tr>
        <w:tc>
          <w:tcPr>
            <w:tcW w:type="dxa" w:w="3200"/>
            <w:shd w:fill="EDEDED" w:val="clear"/>
            <w:tcMar>
              <w:top w:type="dxa" w:w="70"/>
              <w:left w:type="dxa" w:w="90"/>
              <w:bottom w:type="dxa" w:w="70"/>
              <w:right w:type="dxa" w:w="90"/>
            </w:tcMar>
            <w:vAlign w:val="center"/>
          </w:tcPr>
          <w:p>
            <w:r>
              <w:rPr>
                <w:rFonts w:ascii="Calibri" w:cs="Calibri" w:eastAsia="Calibri" w:hAnsi="Calibri"/>
                <w:b/>
                <w:bCs/>
                <w:sz w:val="19"/>
                <w:szCs w:val="19"/>
              </w:rPr>
              <w:t xml:space="preserve">No. de Notaría y adscripción:</w:t>
            </w:r>
          </w:p>
        </w:tc>
        <w:tc>
          <w:tcPr>
            <w:tcW w:type="dxa" w:w="6150"/>
            <w:tcMar>
              <w:top w:type="dxa" w:w="70"/>
              <w:left w:type="dxa" w:w="90"/>
              <w:bottom w:type="dxa" w:w="70"/>
              <w:right w:type="dxa" w:w="90"/>
            </w:tcMar>
            <w:vAlign w:val="center"/>
          </w:tcPr>
          <w:p>
            <w:r>
              <w:rPr>
                <w:rFonts w:ascii="Calibri" w:cs="Calibri" w:eastAsia="Calibri" w:hAnsi="Calibri"/>
                <w:b w:val="false"/>
                <w:bCs w:val="false"/>
                <w:sz w:val="19"/>
                <w:szCs w:val="19"/>
              </w:rPr>
              <w:t xml:space="preserve">[Número] — [Municipio, Estado]</w:t>
            </w:r>
          </w:p>
        </w:tc>
      </w:tr>
      <w:tr>
        <w:tc>
          <w:tcPr>
            <w:tcW w:type="dxa" w:w="3200"/>
            <w:shd w:fill="EDEDED" w:val="clear"/>
            <w:tcMar>
              <w:top w:type="dxa" w:w="70"/>
              <w:left w:type="dxa" w:w="90"/>
              <w:bottom w:type="dxa" w:w="70"/>
              <w:right w:type="dxa" w:w="90"/>
            </w:tcMar>
            <w:vAlign w:val="center"/>
          </w:tcPr>
          <w:p>
            <w:r>
              <w:rPr>
                <w:rFonts w:ascii="Calibri" w:cs="Calibri" w:eastAsia="Calibri" w:hAnsi="Calibri"/>
                <w:b/>
                <w:bCs/>
                <w:sz w:val="19"/>
                <w:szCs w:val="19"/>
              </w:rPr>
              <w:t xml:space="preserve">RFC:</w:t>
            </w:r>
          </w:p>
        </w:tc>
        <w:tc>
          <w:tcPr>
            <w:tcW w:type="dxa" w:w="6150"/>
            <w:tcMar>
              <w:top w:type="dxa" w:w="70"/>
              <w:left w:type="dxa" w:w="90"/>
              <w:bottom w:type="dxa" w:w="70"/>
              <w:right w:type="dxa" w:w="90"/>
            </w:tcMar>
            <w:vAlign w:val="center"/>
          </w:tcPr>
          <w:p>
            <w:r>
              <w:rPr>
                <w:rFonts w:ascii="Calibri" w:cs="Calibri" w:eastAsia="Calibri" w:hAnsi="Calibri"/>
                <w:b w:val="false"/>
                <w:bCs w:val="false"/>
                <w:sz w:val="19"/>
                <w:szCs w:val="19"/>
              </w:rPr>
              <w:t xml:space="preserve">[RFC]</w:t>
            </w:r>
          </w:p>
        </w:tc>
      </w:tr>
      <w:tr>
        <w:tc>
          <w:tcPr>
            <w:tcW w:type="dxa" w:w="3200"/>
            <w:shd w:fill="EDEDED" w:val="clear"/>
            <w:tcMar>
              <w:top w:type="dxa" w:w="70"/>
              <w:left w:type="dxa" w:w="90"/>
              <w:bottom w:type="dxa" w:w="70"/>
              <w:right w:type="dxa" w:w="90"/>
            </w:tcMar>
            <w:vAlign w:val="center"/>
          </w:tcPr>
          <w:p>
            <w:r>
              <w:rPr>
                <w:rFonts w:ascii="Calibri" w:cs="Calibri" w:eastAsia="Calibri" w:hAnsi="Calibri"/>
                <w:b/>
                <w:bCs/>
                <w:sz w:val="19"/>
                <w:szCs w:val="19"/>
              </w:rPr>
              <w:t xml:space="preserve">CURP:</w:t>
            </w:r>
          </w:p>
        </w:tc>
        <w:tc>
          <w:tcPr>
            <w:tcW w:type="dxa" w:w="6150"/>
            <w:tcMar>
              <w:top w:type="dxa" w:w="70"/>
              <w:left w:type="dxa" w:w="90"/>
              <w:bottom w:type="dxa" w:w="70"/>
              <w:right w:type="dxa" w:w="90"/>
            </w:tcMar>
            <w:vAlign w:val="center"/>
          </w:tcPr>
          <w:p>
            <w:r>
              <w:rPr>
                <w:rFonts w:ascii="Calibri" w:cs="Calibri" w:eastAsia="Calibri" w:hAnsi="Calibri"/>
                <w:b w:val="false"/>
                <w:bCs w:val="false"/>
                <w:sz w:val="19"/>
                <w:szCs w:val="19"/>
              </w:rPr>
              <w:t xml:space="preserve">[CURP]</w:t>
            </w:r>
          </w:p>
        </w:tc>
      </w:tr>
      <w:tr>
        <w:tc>
          <w:tcPr>
            <w:tcW w:type="dxa" w:w="3200"/>
            <w:shd w:fill="EDEDED" w:val="clear"/>
            <w:tcMar>
              <w:top w:type="dxa" w:w="70"/>
              <w:left w:type="dxa" w:w="90"/>
              <w:bottom w:type="dxa" w:w="70"/>
              <w:right w:type="dxa" w:w="90"/>
            </w:tcMar>
            <w:vAlign w:val="center"/>
          </w:tcPr>
          <w:p>
            <w:r>
              <w:rPr>
                <w:rFonts w:ascii="Calibri" w:cs="Calibri" w:eastAsia="Calibri" w:hAnsi="Calibri"/>
                <w:b/>
                <w:bCs/>
                <w:sz w:val="19"/>
                <w:szCs w:val="19"/>
              </w:rPr>
              <w:t xml:space="preserve">Consultora PLD:</w:t>
            </w:r>
          </w:p>
        </w:tc>
        <w:tc>
          <w:tcPr>
            <w:tcW w:type="dxa" w:w="6150"/>
            <w:tcMar>
              <w:top w:type="dxa" w:w="70"/>
              <w:left w:type="dxa" w:w="90"/>
              <w:bottom w:type="dxa" w:w="70"/>
              <w:right w:type="dxa" w:w="90"/>
            </w:tcMar>
            <w:vAlign w:val="center"/>
          </w:tcPr>
          <w:p>
            <w:r>
              <w:rPr>
                <w:rFonts w:ascii="Calibri" w:cs="Calibri" w:eastAsia="Calibri" w:hAnsi="Calibri"/>
                <w:b w:val="false"/>
                <w:bCs w:val="false"/>
                <w:sz w:val="19"/>
                <w:szCs w:val="19"/>
              </w:rPr>
              <w:t xml:space="preserve">CERTUS CONSULTORES │ Certus PLD</w:t>
            </w:r>
          </w:p>
        </w:tc>
      </w:tr>
    </w:tbl>
    <w:p/>
    <w:p>
      <w:pPr>
        <w:pBdr>
          <w:bottom w:val="single" w:color="B08D57" w:sz="6" w:space="2"/>
        </w:pBdr>
        <w:spacing w:after="140" w:before="260"/>
      </w:pPr>
      <w:r>
        <w:rPr>
          <w:rFonts w:ascii="Calibri" w:cs="Calibri" w:eastAsia="Calibri" w:hAnsi="Calibri"/>
          <w:b/>
          <w:bCs/>
          <w:color w:val="1F3864"/>
          <w:sz w:val="24"/>
          <w:szCs w:val="24"/>
        </w:rPr>
        <w:t xml:space="preserve">I. Fundamento legal</w:t>
      </w:r>
    </w:p>
    <w:p>
      <w:pPr>
        <w:spacing w:after="120"/>
      </w:pPr>
      <w:r>
        <w:rPr>
          <w:rFonts w:ascii="Calibri" w:cs="Calibri" w:eastAsia="Calibri" w:hAnsi="Calibri"/>
          <w:sz w:val="21"/>
          <w:szCs w:val="21"/>
        </w:rPr>
        <w:t xml:space="preserve">A diferencia del régimen aplicable a personas morales, el artículo 20, último párrafo, de la LFPIORPI establece: "Las personas físicas que realicen Actividades Vulnerables, cumplirán personal y directamente con las obligaciones que esta Ley establece, salvo en el supuesto previsto en la Sección Cuarta del Capítulo III de esta Ley" (Entidades Colegiadas, artículos 26 a 31).</w:t>
      </w:r>
    </w:p>
    <w:p>
      <w:pPr>
        <w:spacing w:after="120"/>
      </w:pPr>
      <w:r>
        <w:rPr>
          <w:rFonts w:ascii="Calibri" w:cs="Calibri" w:eastAsia="Calibri" w:hAnsi="Calibri"/>
          <w:b/>
          <w:bCs/>
          <w:sz w:val="21"/>
          <w:szCs w:val="21"/>
        </w:rPr>
        <w:t xml:space="preserve">En consecuencia, el Notario Titular NO designa ante la Secretaría a una persona "Representante Encargada de Cumplimiento" en los términos en que lo hace una persona moral — esa figura registrable no existe para personas físicas. El propio Notario es, personal y directamente, el responsable del cumplimiento de la LFPIORPI y del registro ante el portal SPPLD.</w:t>
      </w:r>
    </w:p>
    <w:p>
      <w:pPr>
        <w:spacing w:after="120"/>
      </w:pPr>
      <w:r>
        <w:rPr>
          <w:rFonts w:ascii="Calibri" w:cs="Calibri" w:eastAsia="Calibri" w:hAnsi="Calibri"/>
          <w:i/>
          <w:iCs/>
          <w:color w:val="595959"/>
          <w:sz w:val="19"/>
          <w:szCs w:val="19"/>
        </w:rPr>
        <w:t xml:space="preserve">Nota: si el Colegio de Notarios de la entidad opera como Entidad Colegiada conforme a los artículos 26-27 LFPIORPI, podrá presentar avisos por conducto de dicha entidad. [VERIFICAR: si el Colegio de Notarios correspondiente tiene convenio vigente con la Secretaría como Entidad Colegiada.]</w:t>
      </w:r>
    </w:p>
    <w:p>
      <w:pPr>
        <w:pBdr>
          <w:bottom w:val="single" w:color="B08D57" w:sz="6" w:space="2"/>
        </w:pBdr>
        <w:spacing w:after="140" w:before="260"/>
      </w:pPr>
      <w:r>
        <w:rPr>
          <w:rFonts w:ascii="Calibri" w:cs="Calibri" w:eastAsia="Calibri" w:hAnsi="Calibri"/>
          <w:b/>
          <w:bCs/>
          <w:color w:val="1F3864"/>
          <w:sz w:val="24"/>
          <w:szCs w:val="24"/>
        </w:rPr>
        <w:t xml:space="preserve">II. Declaración de Asunción Personal</w:t>
      </w:r>
    </w:p>
    <w:p>
      <w:pPr>
        <w:spacing w:after="120"/>
      </w:pPr>
      <w:r>
        <w:rPr>
          <w:rFonts w:ascii="Calibri" w:cs="Calibri" w:eastAsia="Calibri" w:hAnsi="Calibri"/>
          <w:sz w:val="21"/>
          <w:szCs w:val="21"/>
        </w:rPr>
        <w:t xml:space="preserve">En la ciudad de [Ciudad], siendo las [hora] horas del día [día] de [mes] de [año], el suscrito, en mi carácter de Notario Titular de la Notaría señalada en el encabezado, declaro bajo protesta de decir verdad:</w:t>
      </w:r>
    </w:p>
    <w:p>
      <w:pPr>
        <w:spacing w:after="120"/>
      </w:pPr>
      <w:r>
        <w:rPr>
          <w:rFonts w:ascii="Calibri" w:cs="Calibri" w:eastAsia="Calibri" w:hAnsi="Calibri"/>
          <w:sz w:val="21"/>
          <w:szCs w:val="21"/>
        </w:rPr>
        <w:t xml:space="preserve">PRIMERO. Que asumo personal y directamente, en términos del artículo 20 de la LFPIORPI, el cumplimiento de las obligaciones establecidas en dicho ordenamiento respecto de los actos que formalice comprendidos en el artículo 17, Fracción XII, Apartado A.</w:t>
      </w:r>
    </w:p>
    <w:p>
      <w:pPr>
        <w:spacing w:after="120"/>
      </w:pPr>
      <w:r>
        <w:rPr>
          <w:rFonts w:ascii="Calibri" w:cs="Calibri" w:eastAsia="Calibri" w:hAnsi="Calibri"/>
          <w:sz w:val="21"/>
          <w:szCs w:val="21"/>
        </w:rPr>
        <w:t xml:space="preserve">SEGUNDO. Que me obligo a: (i) mantener mi registro vigente ante el SAT a través del portal SPPLD; (ii) integrar y conservar los expedientes de identificación y conocimiento del cliente conforme al Documento D7-NOT; (iii) presentar los avisos correspondientes dentro de los plazos legales; (iv) aplicar la Metodología EBR (D6-NOT) a cada acto que formalice; y (v) conservar la documentación soporte por el plazo de 10 años conforme al artículo 18, fracción IV.</w:t>
      </w:r>
    </w:p>
    <w:p>
      <w:pPr>
        <w:spacing w:after="120"/>
      </w:pPr>
      <w:r>
        <w:rPr>
          <w:rFonts w:ascii="Calibri" w:cs="Calibri" w:eastAsia="Calibri" w:hAnsi="Calibri"/>
          <w:sz w:val="21"/>
          <w:szCs w:val="21"/>
        </w:rPr>
        <w:t xml:space="preserve">TERCERO. Que he sido informado por Certus Consultores de que la responsabilidad derivada del incumplimiento de estas obligaciones es personal y no se transfiere a ningún colaborador, empleado o Encargado Operativo que llegue a designarse conforme a la Sección III de este documento.</w:t>
      </w:r>
    </w:p>
    <w:p>
      <w:pPr>
        <w:pBdr>
          <w:bottom w:val="single" w:color="B08D57" w:sz="6" w:space="2"/>
        </w:pBdr>
        <w:spacing w:after="140" w:before="260"/>
      </w:pPr>
      <w:r>
        <w:rPr>
          <w:rFonts w:ascii="Calibri" w:cs="Calibri" w:eastAsia="Calibri" w:hAnsi="Calibri"/>
          <w:b/>
          <w:bCs/>
          <w:color w:val="1F3864"/>
          <w:sz w:val="24"/>
          <w:szCs w:val="24"/>
        </w:rPr>
        <w:t xml:space="preserve">III. Designación de Encargado Operativo Interno (Opcional)</w:t>
      </w:r>
    </w:p>
    <w:p>
      <w:pPr>
        <w:spacing w:after="120"/>
      </w:pPr>
      <w:r>
        <w:rPr>
          <w:rFonts w:ascii="Calibri" w:cs="Calibri" w:eastAsia="Calibri" w:hAnsi="Calibri"/>
          <w:i/>
          <w:iCs/>
          <w:sz w:val="21"/>
          <w:szCs w:val="21"/>
        </w:rPr>
        <w:t xml:space="preserve">El Notario Titular podrá auxiliarse de personal de la Notaría para la ejecución operativa y cotidiana del Programa Certus PLD, sin que ello constituya una transferencia de responsabilidad legal ni una designación registrable ante la Secretaría.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c>
          <w:tcPr>
            <w:tcW w:type="dxa" w:w="3200"/>
            <w:shd w:fill="EDEDED" w:val="clear"/>
            <w:tcMar>
              <w:top w:type="dxa" w:w="70"/>
              <w:left w:type="dxa" w:w="90"/>
              <w:bottom w:type="dxa" w:w="70"/>
              <w:right w:type="dxa" w:w="90"/>
            </w:tcMar>
            <w:vAlign w:val="center"/>
          </w:tcPr>
          <w:p>
            <w:r>
              <w:rPr>
                <w:rFonts w:ascii="Calibri" w:cs="Calibri" w:eastAsia="Calibri" w:hAnsi="Calibri"/>
                <w:b/>
                <w:bCs/>
                <w:sz w:val="19"/>
                <w:szCs w:val="19"/>
              </w:rPr>
              <w:t xml:space="preserve">Nombre completo del Encargado Operativo:</w:t>
            </w:r>
          </w:p>
        </w:tc>
        <w:tc>
          <w:tcPr>
            <w:tcW w:type="dxa" w:w="6150"/>
            <w:tcMar>
              <w:top w:type="dxa" w:w="70"/>
              <w:left w:type="dxa" w:w="90"/>
              <w:bottom w:type="dxa" w:w="70"/>
              <w:right w:type="dxa" w:w="90"/>
            </w:tcMar>
            <w:vAlign w:val="center"/>
          </w:tcPr>
          <w:p>
            <w:r>
              <w:rPr>
                <w:rFonts w:ascii="Calibri" w:cs="Calibri" w:eastAsia="Calibri" w:hAnsi="Calibri"/>
                <w:b w:val="false"/>
                <w:bCs w:val="false"/>
                <w:sz w:val="19"/>
                <w:szCs w:val="19"/>
              </w:rPr>
              <w:t xml:space="preserve">[Nombre]</w:t>
            </w:r>
          </w:p>
        </w:tc>
      </w:tr>
      <w:tr>
        <w:tc>
          <w:tcPr>
            <w:tcW w:type="dxa" w:w="3200"/>
            <w:shd w:fill="EDEDED" w:val="clear"/>
            <w:tcMar>
              <w:top w:type="dxa" w:w="70"/>
              <w:left w:type="dxa" w:w="90"/>
              <w:bottom w:type="dxa" w:w="70"/>
              <w:right w:type="dxa" w:w="90"/>
            </w:tcMar>
            <w:vAlign w:val="center"/>
          </w:tcPr>
          <w:p>
            <w:r>
              <w:rPr>
                <w:rFonts w:ascii="Calibri" w:cs="Calibri" w:eastAsia="Calibri" w:hAnsi="Calibri"/>
                <w:b/>
                <w:bCs/>
                <w:sz w:val="19"/>
                <w:szCs w:val="19"/>
              </w:rPr>
              <w:t xml:space="preserve">Cargo en la Notaría:</w:t>
            </w:r>
          </w:p>
        </w:tc>
        <w:tc>
          <w:tcPr>
            <w:tcW w:type="dxa" w:w="6150"/>
            <w:tcMar>
              <w:top w:type="dxa" w:w="70"/>
              <w:left w:type="dxa" w:w="90"/>
              <w:bottom w:type="dxa" w:w="70"/>
              <w:right w:type="dxa" w:w="90"/>
            </w:tcMar>
            <w:vAlign w:val="center"/>
          </w:tcPr>
          <w:p>
            <w:r>
              <w:rPr>
                <w:rFonts w:ascii="Calibri" w:cs="Calibri" w:eastAsia="Calibri" w:hAnsi="Calibri"/>
                <w:b w:val="false"/>
                <w:bCs w:val="false"/>
                <w:sz w:val="19"/>
                <w:szCs w:val="19"/>
              </w:rPr>
              <w:t xml:space="preserve">[Cargo]</w:t>
            </w:r>
          </w:p>
        </w:tc>
      </w:tr>
      <w:tr>
        <w:tc>
          <w:tcPr>
            <w:tcW w:type="dxa" w:w="3200"/>
            <w:shd w:fill="EDEDED" w:val="clear"/>
            <w:tcMar>
              <w:top w:type="dxa" w:w="70"/>
              <w:left w:type="dxa" w:w="90"/>
              <w:bottom w:type="dxa" w:w="70"/>
              <w:right w:type="dxa" w:w="90"/>
            </w:tcMar>
            <w:vAlign w:val="center"/>
          </w:tcPr>
          <w:p>
            <w:r>
              <w:rPr>
                <w:rFonts w:ascii="Calibri" w:cs="Calibri" w:eastAsia="Calibri" w:hAnsi="Calibri"/>
                <w:b/>
                <w:bCs/>
                <w:sz w:val="19"/>
                <w:szCs w:val="19"/>
              </w:rPr>
              <w:t xml:space="preserve">CURP:</w:t>
            </w:r>
          </w:p>
        </w:tc>
        <w:tc>
          <w:tcPr>
            <w:tcW w:type="dxa" w:w="6150"/>
            <w:tcMar>
              <w:top w:type="dxa" w:w="70"/>
              <w:left w:type="dxa" w:w="90"/>
              <w:bottom w:type="dxa" w:w="70"/>
              <w:right w:type="dxa" w:w="90"/>
            </w:tcMar>
            <w:vAlign w:val="center"/>
          </w:tcPr>
          <w:p>
            <w:r>
              <w:rPr>
                <w:rFonts w:ascii="Calibri" w:cs="Calibri" w:eastAsia="Calibri" w:hAnsi="Calibri"/>
                <w:b w:val="false"/>
                <w:bCs w:val="false"/>
                <w:sz w:val="19"/>
                <w:szCs w:val="19"/>
              </w:rPr>
              <w:t xml:space="preserve">[CURP]</w:t>
            </w:r>
          </w:p>
        </w:tc>
      </w:tr>
      <w:tr>
        <w:tc>
          <w:tcPr>
            <w:tcW w:type="dxa" w:w="3200"/>
            <w:shd w:fill="EDEDED" w:val="clear"/>
            <w:tcMar>
              <w:top w:type="dxa" w:w="70"/>
              <w:left w:type="dxa" w:w="90"/>
              <w:bottom w:type="dxa" w:w="70"/>
              <w:right w:type="dxa" w:w="90"/>
            </w:tcMar>
            <w:vAlign w:val="center"/>
          </w:tcPr>
          <w:p>
            <w:r>
              <w:rPr>
                <w:rFonts w:ascii="Calibri" w:cs="Calibri" w:eastAsia="Calibri" w:hAnsi="Calibri"/>
                <w:b/>
                <w:bCs/>
                <w:sz w:val="19"/>
                <w:szCs w:val="19"/>
              </w:rPr>
              <w:t xml:space="preserve">Correo electrónico:</w:t>
            </w:r>
          </w:p>
        </w:tc>
        <w:tc>
          <w:tcPr>
            <w:tcW w:type="dxa" w:w="6150"/>
            <w:tcMar>
              <w:top w:type="dxa" w:w="70"/>
              <w:left w:type="dxa" w:w="90"/>
              <w:bottom w:type="dxa" w:w="70"/>
              <w:right w:type="dxa" w:w="90"/>
            </w:tcMar>
            <w:vAlign w:val="center"/>
          </w:tcPr>
          <w:p>
            <w:r>
              <w:rPr>
                <w:rFonts w:ascii="Calibri" w:cs="Calibri" w:eastAsia="Calibri" w:hAnsi="Calibri"/>
                <w:b w:val="false"/>
                <w:bCs w:val="false"/>
                <w:sz w:val="19"/>
                <w:szCs w:val="19"/>
              </w:rPr>
              <w:t xml:space="preserve">[Correo]</w:t>
            </w:r>
          </w:p>
        </w:tc>
      </w:tr>
      <w:tr>
        <w:tc>
          <w:tcPr>
            <w:tcW w:type="dxa" w:w="3200"/>
            <w:shd w:fill="EDEDED" w:val="clear"/>
            <w:tcMar>
              <w:top w:type="dxa" w:w="70"/>
              <w:left w:type="dxa" w:w="90"/>
              <w:bottom w:type="dxa" w:w="70"/>
              <w:right w:type="dxa" w:w="90"/>
            </w:tcMar>
            <w:vAlign w:val="center"/>
          </w:tcPr>
          <w:p>
            <w:r>
              <w:rPr>
                <w:rFonts w:ascii="Calibri" w:cs="Calibri" w:eastAsia="Calibri" w:hAnsi="Calibri"/>
                <w:b/>
                <w:bCs/>
                <w:sz w:val="19"/>
                <w:szCs w:val="19"/>
              </w:rPr>
              <w:t xml:space="preserve">Facultades operativas asignadas:</w:t>
            </w:r>
          </w:p>
        </w:tc>
        <w:tc>
          <w:tcPr>
            <w:tcW w:type="dxa" w:w="6150"/>
            <w:tcMar>
              <w:top w:type="dxa" w:w="70"/>
              <w:left w:type="dxa" w:w="90"/>
              <w:bottom w:type="dxa" w:w="70"/>
              <w:right w:type="dxa" w:w="90"/>
            </w:tcMar>
            <w:vAlign w:val="center"/>
          </w:tcPr>
          <w:p>
            <w:r>
              <w:rPr>
                <w:rFonts w:ascii="Calibri" w:cs="Calibri" w:eastAsia="Calibri" w:hAnsi="Calibri"/>
                <w:b w:val="false"/>
                <w:bCs w:val="false"/>
                <w:sz w:val="19"/>
                <w:szCs w:val="19"/>
              </w:rPr>
              <w:t xml:space="preserve">[ ] Integrar expedientes KYC  [ ] Aplicar Metodología EBR  [ ] Dar seguimiento a plazos de avisos  [ ] Coordinar capacitación del personal</w:t>
            </w:r>
          </w:p>
        </w:tc>
      </w:tr>
      <w:tr>
        <w:tc>
          <w:tcPr>
            <w:tcW w:type="dxa" w:w="3200"/>
            <w:shd w:fill="EDEDED" w:val="clear"/>
            <w:tcMar>
              <w:top w:type="dxa" w:w="70"/>
              <w:left w:type="dxa" w:w="90"/>
              <w:bottom w:type="dxa" w:w="70"/>
              <w:right w:type="dxa" w:w="90"/>
            </w:tcMar>
            <w:vAlign w:val="center"/>
          </w:tcPr>
          <w:p>
            <w:r>
              <w:rPr>
                <w:rFonts w:ascii="Calibri" w:cs="Calibri" w:eastAsia="Calibri" w:hAnsi="Calibri"/>
                <w:b/>
                <w:bCs/>
                <w:sz w:val="19"/>
                <w:szCs w:val="19"/>
              </w:rPr>
              <w:t xml:space="preserve">Alcance de la designación:</w:t>
            </w:r>
          </w:p>
        </w:tc>
        <w:tc>
          <w:tcPr>
            <w:tcW w:type="dxa" w:w="6150"/>
            <w:tcMar>
              <w:top w:type="dxa" w:w="70"/>
              <w:left w:type="dxa" w:w="90"/>
              <w:bottom w:type="dxa" w:w="70"/>
              <w:right w:type="dxa" w:w="90"/>
            </w:tcMar>
            <w:vAlign w:val="center"/>
          </w:tcPr>
          <w:p>
            <w:r>
              <w:rPr>
                <w:rFonts w:ascii="Calibri" w:cs="Calibri" w:eastAsia="Calibri" w:hAnsi="Calibri"/>
                <w:b w:val="false"/>
                <w:bCs w:val="false"/>
                <w:sz w:val="19"/>
                <w:szCs w:val="19"/>
              </w:rPr>
              <w:t xml:space="preserve">Estrictamente operativo e interno. NO sustituye la responsabilidad personal del Notario Titular ante el SAT ni ante la autoridad notarial estatal.</w:t>
            </w:r>
          </w:p>
        </w:tc>
      </w:tr>
    </w:tbl>
    <w:p>
      <w:pPr>
        <w:pBdr>
          <w:bottom w:val="single" w:color="B08D57" w:sz="6" w:space="2"/>
        </w:pBdr>
        <w:spacing w:after="140" w:before="260"/>
      </w:pPr>
      <w:r>
        <w:rPr>
          <w:rFonts w:ascii="Calibri" w:cs="Calibri" w:eastAsia="Calibri" w:hAnsi="Calibri"/>
          <w:b/>
          <w:bCs/>
          <w:color w:val="1F3864"/>
          <w:sz w:val="24"/>
          <w:szCs w:val="24"/>
        </w:rPr>
        <w:t xml:space="preserve">IV. Notificación ante el SAT</w:t>
      </w:r>
    </w:p>
    <w:p>
      <w:pPr>
        <w:spacing w:after="120"/>
      </w:pPr>
      <w:r>
        <w:rPr>
          <w:rFonts w:ascii="Calibri" w:cs="Calibri" w:eastAsia="Calibri" w:hAnsi="Calibri"/>
          <w:sz w:val="21"/>
          <w:szCs w:val="21"/>
        </w:rPr>
        <w:t xml:space="preserve">El Notario Titular deberá registrarse personalmente en el portal SPPLD del SAT (https://ppld.sat.gob.mx) como sujeto obligado bajo la actividad "Fe Pública", declarando los incisos de la Fracción XII, Apartado A aplicables a su ejercicio.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c>
          <w:tcPr>
            <w:tcW w:type="dxa" w:w="3200"/>
            <w:shd w:fill="EDEDED" w:val="clear"/>
            <w:tcMar>
              <w:top w:type="dxa" w:w="70"/>
              <w:left w:type="dxa" w:w="90"/>
              <w:bottom w:type="dxa" w:w="70"/>
              <w:right w:type="dxa" w:w="90"/>
            </w:tcMar>
            <w:vAlign w:val="center"/>
          </w:tcPr>
          <w:p>
            <w:r>
              <w:rPr>
                <w:rFonts w:ascii="Calibri" w:cs="Calibri" w:eastAsia="Calibri" w:hAnsi="Calibri"/>
                <w:b/>
                <w:bCs/>
                <w:sz w:val="19"/>
                <w:szCs w:val="19"/>
              </w:rPr>
              <w:t xml:space="preserve">Fecha de registro SPPLD:</w:t>
            </w:r>
          </w:p>
        </w:tc>
        <w:tc>
          <w:tcPr>
            <w:tcW w:type="dxa" w:w="6150"/>
            <w:tcMar>
              <w:top w:type="dxa" w:w="70"/>
              <w:left w:type="dxa" w:w="90"/>
              <w:bottom w:type="dxa" w:w="70"/>
              <w:right w:type="dxa" w:w="90"/>
            </w:tcMar>
            <w:vAlign w:val="center"/>
          </w:tcPr>
          <w:p>
            <w:r>
              <w:rPr>
                <w:rFonts w:ascii="Calibri" w:cs="Calibri" w:eastAsia="Calibri" w:hAnsi="Calibri"/>
                <w:b w:val="false"/>
                <w:bCs w:val="false"/>
                <w:sz w:val="19"/>
                <w:szCs w:val="19"/>
              </w:rPr>
              <w:t xml:space="preserve">[Fecha]</w:t>
            </w:r>
          </w:p>
        </w:tc>
      </w:tr>
      <w:tr>
        <w:tc>
          <w:tcPr>
            <w:tcW w:type="dxa" w:w="3200"/>
            <w:shd w:fill="EDEDED" w:val="clear"/>
            <w:tcMar>
              <w:top w:type="dxa" w:w="70"/>
              <w:left w:type="dxa" w:w="90"/>
              <w:bottom w:type="dxa" w:w="70"/>
              <w:right w:type="dxa" w:w="90"/>
            </w:tcMar>
            <w:vAlign w:val="center"/>
          </w:tcPr>
          <w:p>
            <w:r>
              <w:rPr>
                <w:rFonts w:ascii="Calibri" w:cs="Calibri" w:eastAsia="Calibri" w:hAnsi="Calibri"/>
                <w:b/>
                <w:bCs/>
                <w:sz w:val="19"/>
                <w:szCs w:val="19"/>
              </w:rPr>
              <w:t xml:space="preserve">Folio de registro:</w:t>
            </w:r>
          </w:p>
        </w:tc>
        <w:tc>
          <w:tcPr>
            <w:tcW w:type="dxa" w:w="6150"/>
            <w:tcMar>
              <w:top w:type="dxa" w:w="70"/>
              <w:left w:type="dxa" w:w="90"/>
              <w:bottom w:type="dxa" w:w="70"/>
              <w:right w:type="dxa" w:w="90"/>
            </w:tcMar>
            <w:vAlign w:val="center"/>
          </w:tcPr>
          <w:p>
            <w:r>
              <w:rPr>
                <w:rFonts w:ascii="Calibri" w:cs="Calibri" w:eastAsia="Calibri" w:hAnsi="Calibri"/>
                <w:b w:val="false"/>
                <w:bCs w:val="false"/>
                <w:sz w:val="19"/>
                <w:szCs w:val="19"/>
              </w:rPr>
              <w:t xml:space="preserve">[Folio asignado por el SAT]</w:t>
            </w:r>
          </w:p>
        </w:tc>
      </w:tr>
      <w:tr>
        <w:tc>
          <w:tcPr>
            <w:tcW w:type="dxa" w:w="3200"/>
            <w:shd w:fill="EDEDED" w:val="clear"/>
            <w:tcMar>
              <w:top w:type="dxa" w:w="70"/>
              <w:left w:type="dxa" w:w="90"/>
              <w:bottom w:type="dxa" w:w="70"/>
              <w:right w:type="dxa" w:w="90"/>
            </w:tcMar>
            <w:vAlign w:val="center"/>
          </w:tcPr>
          <w:p>
            <w:r>
              <w:rPr>
                <w:rFonts w:ascii="Calibri" w:cs="Calibri" w:eastAsia="Calibri" w:hAnsi="Calibri"/>
                <w:b/>
                <w:bCs/>
                <w:sz w:val="19"/>
                <w:szCs w:val="19"/>
              </w:rPr>
              <w:t xml:space="preserve">Constancia de registro adjunta:</w:t>
            </w:r>
          </w:p>
        </w:tc>
        <w:tc>
          <w:tcPr>
            <w:tcW w:type="dxa" w:w="6150"/>
            <w:tcMar>
              <w:top w:type="dxa" w:w="70"/>
              <w:left w:type="dxa" w:w="90"/>
              <w:bottom w:type="dxa" w:w="70"/>
              <w:right w:type="dxa" w:w="90"/>
            </w:tcMar>
            <w:vAlign w:val="center"/>
          </w:tcPr>
          <w:p>
            <w:r>
              <w:rPr>
                <w:rFonts w:ascii="Calibri" w:cs="Calibri" w:eastAsia="Calibri" w:hAnsi="Calibri"/>
                <w:b w:val="false"/>
                <w:bCs w:val="false"/>
                <w:sz w:val="19"/>
                <w:szCs w:val="19"/>
              </w:rPr>
              <w:t xml:space="preserve">[ ] Sí    [ ] No</w:t>
            </w:r>
          </w:p>
        </w:tc>
      </w:tr>
      <w:tr>
        <w:tc>
          <w:tcPr>
            <w:tcW w:type="dxa" w:w="3200"/>
            <w:shd w:fill="EDEDED" w:val="clear"/>
            <w:tcMar>
              <w:top w:type="dxa" w:w="70"/>
              <w:left w:type="dxa" w:w="90"/>
              <w:bottom w:type="dxa" w:w="70"/>
              <w:right w:type="dxa" w:w="90"/>
            </w:tcMar>
            <w:vAlign w:val="center"/>
          </w:tcPr>
          <w:p>
            <w:r>
              <w:rPr>
                <w:rFonts w:ascii="Calibri" w:cs="Calibri" w:eastAsia="Calibri" w:hAnsi="Calibri"/>
                <w:b/>
                <w:bCs/>
                <w:sz w:val="19"/>
                <w:szCs w:val="19"/>
              </w:rPr>
              <w:t xml:space="preserve">Apoyo técnico Certus PLD:</w:t>
            </w:r>
          </w:p>
        </w:tc>
        <w:tc>
          <w:tcPr>
            <w:tcW w:type="dxa" w:w="6150"/>
            <w:tcMar>
              <w:top w:type="dxa" w:w="70"/>
              <w:left w:type="dxa" w:w="90"/>
              <w:bottom w:type="dxa" w:w="70"/>
              <w:right w:type="dxa" w:w="90"/>
            </w:tcMar>
            <w:vAlign w:val="center"/>
          </w:tcPr>
          <w:p>
            <w:r>
              <w:rPr>
                <w:rFonts w:ascii="Calibri" w:cs="Calibri" w:eastAsia="Calibri" w:hAnsi="Calibri"/>
                <w:b w:val="false"/>
                <w:bCs w:val="false"/>
                <w:sz w:val="19"/>
                <w:szCs w:val="19"/>
              </w:rPr>
              <w:t xml:space="preserve">contacto@certusconsultores.com.mx │ 999 163 1363</w:t>
            </w:r>
          </w:p>
        </w:tc>
      </w:tr>
    </w:tbl>
    <w:p>
      <w:pPr>
        <w:pBdr>
          <w:bottom w:val="single" w:color="B08D57" w:sz="6" w:space="2"/>
        </w:pBdr>
        <w:spacing w:after="140" w:before="260"/>
      </w:pPr>
      <w:r>
        <w:rPr>
          <w:rFonts w:ascii="Calibri" w:cs="Calibri" w:eastAsia="Calibri" w:hAnsi="Calibri"/>
          <w:b/>
          <w:bCs/>
          <w:color w:val="1F3864"/>
          <w:sz w:val="24"/>
          <w:szCs w:val="24"/>
        </w:rPr>
        <w:t xml:space="preserve">V. Firma</w:t>
      </w:r>
    </w:p>
    <w:p>
      <w:pPr>
        <w:spacing w:after="120"/>
      </w:pPr>
      <w:r>
        <w:rPr>
          <w:rFonts w:ascii="Calibri" w:cs="Calibri" w:eastAsia="Calibri" w:hAnsi="Calibri"/>
          <w:sz w:val="21"/>
          <w:szCs w:val="21"/>
        </w:rPr>
        <w:t xml:space="preserve">_________________________________</w:t>
      </w:r>
    </w:p>
    <w:p>
      <w:pPr>
        <w:spacing w:after="120"/>
      </w:pPr>
      <w:r>
        <w:rPr>
          <w:rFonts w:ascii="Calibri" w:cs="Calibri" w:eastAsia="Calibri" w:hAnsi="Calibri"/>
          <w:sz w:val="21"/>
          <w:szCs w:val="21"/>
        </w:rPr>
        <w:t xml:space="preserve">[Nombre del Notario Titular]</w:t>
      </w:r>
    </w:p>
    <w:p>
      <w:pPr>
        <w:spacing w:after="120"/>
      </w:pPr>
      <w:r>
        <w:rPr>
          <w:rFonts w:ascii="Calibri" w:cs="Calibri" w:eastAsia="Calibri" w:hAnsi="Calibri"/>
          <w:sz w:val="21"/>
          <w:szCs w:val="21"/>
        </w:rPr>
        <w:t xml:space="preserve">Notario Público No. [Número] — [Municipio, Estado]</w:t>
      </w:r>
    </w:p>
    <w:p/>
    <w:p>
      <w:pPr>
        <w:pBdr>
          <w:top w:val="single" w:color="B08D57" w:sz="4" w:space="4"/>
        </w:pBdr>
        <w:spacing w:before="200"/>
      </w:pPr>
      <w:r>
        <w:rPr>
          <w:rFonts w:ascii="Calibri" w:cs="Calibri" w:eastAsia="Calibri" w:hAnsi="Calibri"/>
          <w:color w:val="808080"/>
          <w:sz w:val="16"/>
          <w:szCs w:val="16"/>
        </w:rPr>
        <w:t xml:space="preserve">CERTUS CONSULTORES  |  Certus PLD  |  Mérida, Yucatán  |  999 163 1363</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2026-09-09T01:22:00.366Z</dcterms:created>
  <dcterms:modified xsi:type="dcterms:W3CDTF">2026-09-09T01:22:00.366Z</dcterms:modified>
</cp:coreProperties>
</file>

<file path=docProps/custom.xml><?xml version="1.0" encoding="utf-8"?>
<Properties xmlns="http://schemas.openxmlformats.org/officeDocument/2006/custom-properties" xmlns:vt="http://schemas.openxmlformats.org/officeDocument/2006/docPropsVTypes"/>
</file>