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D5-NOT </w:t>
            </w:r>
            <w:r>
              <w:rPr>
                <w:rFonts w:ascii="Calibri" w:cs="Calibri" w:eastAsia="Calibri" w:hAnsi="Calibri"/>
                <w:b/>
                <w:bCs/>
                <w:color w:val="FFFFFF"/>
                <w:sz w:val="22"/>
                <w:szCs w:val="22"/>
              </w:rPr>
              <w:t xml:space="preserve">Manual de Cumplimiento PLD/FT — Notarías</w:t>
            </w:r>
          </w:p>
          <w:p>
            <w:pPr>
              <w:spacing w:before="40"/>
            </w:pPr>
            <w:r>
              <w:rPr>
                <w:rFonts w:ascii="Calibri" w:cs="Calibri" w:eastAsia="Calibri" w:hAnsi="Calibri"/>
                <w:color w:val="D9D9D9"/>
                <w:sz w:val="18"/>
                <w:szCs w:val="18"/>
              </w:rPr>
              <w:t xml:space="preserve">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Notaría:</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[Denominación completa]</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Notario Titular:</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[Nombre]</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Versión:</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1.0 — [Fecha de adopción]</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Aprobó:</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[Notario Titular]</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Elaboró:</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Certus Consultores │ Certus PLD</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Vigencia:</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Un año a partir de la fecha de adopción — revisión anual obligatoria</w:t>
            </w:r>
          </w:p>
        </w:tc>
      </w:tr>
    </w:tbl>
    <w:p/>
    <w:p>
      <w:pPr>
        <w:spacing w:after="110"/>
      </w:pPr>
      <w:r>
        <w:rPr>
          <w:rFonts w:ascii="Calibri" w:cs="Calibri" w:eastAsia="Calibri" w:hAnsi="Calibri"/>
          <w:i/>
          <w:iCs/>
          <w:sz w:val="18"/>
          <w:szCs w:val="18"/>
        </w:rPr>
        <w:t xml:space="preserve">Índice de capítulos: 1. Introducción y marco normativo │ 2. Objeto y alcance │ 3. Organización y responsabilidades │ 4. Identificación y conocimiento del cliente (KYC) │ 5. Enfoque Basado en Riesgo (EBR) │ 6. Personas Expuestas Políticamente (PEP's) y Beneficiario Controlador │ 7. Operaciones inusuales │ 8. Restricción de pagos en efectivo │ 9. Presentación de avisos ante el SAT │ 10. Resguardo documental │ 11. Capacitación │ 12. Auditoría interna │ 13. Sanciones aplicables │ 14. Actualización del Manual │ 15. Glosario</w:t>
      </w:r>
    </w:p>
    <w:p>
      <w:pPr>
        <w:shd w:fill="1F3864" w:val="clear"/>
        <w:spacing w:after="100" w:before="220"/>
      </w:pPr>
      <w:r>
        <w:rPr>
          <w:rFonts w:ascii="Calibri" w:cs="Calibri" w:eastAsia="Calibri" w:hAnsi="Calibri"/>
          <w:b/>
          <w:bCs/>
          <w:color w:val="FFFFFF"/>
          <w:sz w:val="22"/>
          <w:szCs w:val="22"/>
        </w:rPr>
        <w:t xml:space="preserve">Capítulo 1: Introducción y Marco Normativo</w:t>
      </w:r>
    </w:p>
    <w:p>
      <w:pPr>
        <w:spacing w:after="110"/>
      </w:pPr>
      <w:r>
        <w:rPr>
          <w:rFonts w:ascii="Calibri" w:cs="Calibri" w:eastAsia="Calibri" w:hAnsi="Calibri"/>
          <w:sz w:val="20"/>
          <w:szCs w:val="20"/>
        </w:rPr>
        <w:t xml:space="preserve">El presente Manual de Cumplimiento en materia PLD/FT es adoptado por el Notario Titular en cumplimiento de las obligaciones establecidas en la LFPIORPI y su Reglamento reformado. Ha sido desarrollado por Certus Consultores a través del Programa Certus PLD, diseñado específicamente para notarías sujetas a la Fracción XII, Apartado A del artículo 17 de la LFPIORPI.</w:t>
      </w:r>
    </w:p>
    <w:p>
      <w:pPr>
        <w:spacing w:after="60" w:before="120"/>
      </w:pPr>
      <w:r>
        <w:rPr>
          <w:rFonts w:ascii="Calibri" w:cs="Calibri" w:eastAsia="Calibri" w:hAnsi="Calibri"/>
          <w:b/>
          <w:bCs/>
          <w:color w:val="0A1628"/>
          <w:sz w:val="19"/>
          <w:szCs w:val="19"/>
        </w:rPr>
        <w:t xml:space="preserve">1.1 Base legal</w:t>
      </w:r>
    </w:p>
    <w:p>
      <w:pPr>
        <w:pStyle w:val="ListParagraph"/>
        <w:numPr>
          <w:ilvl w:val="0"/>
          <w:numId w:val="1"/>
        </w:numPr>
        <w:spacing w:after="40"/>
      </w:pPr>
      <w:r>
        <w:rPr>
          <w:rFonts w:ascii="Calibri" w:cs="Calibri" w:eastAsia="Calibri" w:hAnsi="Calibri"/>
          <w:sz w:val="20"/>
          <w:szCs w:val="20"/>
        </w:rPr>
        <w:t xml:space="preserve">LFPIORPI — reforma DOF 16 de julio de 2025 (vigente desde el 17 de julio de 2025)</w:t>
      </w:r>
    </w:p>
    <w:p>
      <w:pPr>
        <w:pStyle w:val="ListParagraph"/>
        <w:numPr>
          <w:ilvl w:val="0"/>
          <w:numId w:val="1"/>
        </w:numPr>
        <w:spacing w:after="40"/>
      </w:pPr>
      <w:r>
        <w:rPr>
          <w:rFonts w:ascii="Calibri" w:cs="Calibri" w:eastAsia="Calibri" w:hAnsi="Calibri"/>
          <w:sz w:val="20"/>
          <w:szCs w:val="20"/>
        </w:rPr>
        <w:t xml:space="preserve">Reglamento de la LFPIORPI — reforma DOF 27 de marzo de 2026</w:t>
      </w:r>
    </w:p>
    <w:p>
      <w:pPr>
        <w:pStyle w:val="ListParagraph"/>
        <w:numPr>
          <w:ilvl w:val="0"/>
          <w:numId w:val="1"/>
        </w:numPr>
        <w:spacing w:after="40"/>
      </w:pPr>
      <w:r>
        <w:rPr>
          <w:rFonts w:ascii="Calibri" w:cs="Calibri" w:eastAsia="Calibri" w:hAnsi="Calibri"/>
          <w:sz w:val="20"/>
          <w:szCs w:val="20"/>
        </w:rPr>
        <w:t xml:space="preserve">Reglas de Carácter General emitidas por el SAT en materia PLD/FT — Acuerdo 115/2026 (DOF 07/08/2026)</w:t>
      </w:r>
    </w:p>
    <w:p>
      <w:pPr>
        <w:pStyle w:val="ListParagraph"/>
        <w:numPr>
          <w:ilvl w:val="0"/>
          <w:numId w:val="1"/>
        </w:numPr>
        <w:spacing w:after="40"/>
      </w:pPr>
      <w:r>
        <w:rPr>
          <w:rFonts w:ascii="Calibri" w:cs="Calibri" w:eastAsia="Calibri" w:hAnsi="Calibri"/>
          <w:sz w:val="20"/>
          <w:szCs w:val="20"/>
        </w:rPr>
        <w:t xml:space="preserve">Fracción aplicable: XII, Apartado A — servicios de fe pública notarial, incisos a) a e)</w:t>
      </w:r>
    </w:p>
    <w:p>
      <w:pPr>
        <w:shd w:fill="1F3864" w:val="clear"/>
        <w:spacing w:after="100" w:before="220"/>
      </w:pPr>
      <w:r>
        <w:rPr>
          <w:rFonts w:ascii="Calibri" w:cs="Calibri" w:eastAsia="Calibri" w:hAnsi="Calibri"/>
          <w:b/>
          <w:bCs/>
          <w:color w:val="FFFFFF"/>
          <w:sz w:val="22"/>
          <w:szCs w:val="22"/>
        </w:rPr>
        <w:t xml:space="preserve">Capítulo 2: Objeto y Alcance</w:t>
      </w:r>
    </w:p>
    <w:p>
      <w:pPr>
        <w:spacing w:after="110"/>
      </w:pPr>
      <w:r>
        <w:rPr>
          <w:rFonts w:ascii="Calibri" w:cs="Calibri" w:eastAsia="Calibri" w:hAnsi="Calibri"/>
          <w:sz w:val="20"/>
          <w:szCs w:val="20"/>
        </w:rPr>
        <w:t xml:space="preserve">Este Manual establece los procedimientos, políticas y controles internos que la Notaría implementa para prevenir, detectar y reportar actos que pudieran estar vinculados con el lavado de dinero o el financiamiento al terrorismo, en los actos que el Notario formalice conforme a los incisos a) a e) de la Fracción XII, Apartado A.</w:t>
      </w:r>
    </w:p>
    <w:p>
      <w:pPr>
        <w:shd w:fill="1F3864" w:val="clear"/>
        <w:spacing w:after="100" w:before="220"/>
      </w:pPr>
      <w:r>
        <w:rPr>
          <w:rFonts w:ascii="Calibri" w:cs="Calibri" w:eastAsia="Calibri" w:hAnsi="Calibri"/>
          <w:b/>
          <w:bCs/>
          <w:color w:val="FFFFFF"/>
          <w:sz w:val="22"/>
          <w:szCs w:val="22"/>
        </w:rPr>
        <w:t xml:space="preserve">Capítulo 3: Organización y Responsabilidades</w:t>
      </w:r>
    </w:p>
    <w:p>
      <w:pPr>
        <w:spacing w:after="110"/>
      </w:pPr>
      <w:r>
        <w:rPr>
          <w:rFonts w:ascii="Calibri" w:cs="Calibri" w:eastAsia="Calibri" w:hAnsi="Calibri"/>
          <w:sz w:val="20"/>
          <w:szCs w:val="20"/>
        </w:rPr>
        <w:t xml:space="preserve">A diferencia del régimen aplicable a personas morales, no existe un órgano de administración ni un Representante de Cumplimiento registrable ante la Secretaría. Conforme al artículo 20, último párrafo, LFPIORPI, el Notario Titular cumple personal y directamente con las obligaciones de este Manual (ver Constancia de Asunción Personal, D2-NOT).</w:t>
      </w:r>
    </w:p>
    <w:p>
      <w:pPr>
        <w:spacing w:after="60" w:before="120"/>
      </w:pPr>
      <w:r>
        <w:rPr>
          <w:rFonts w:ascii="Calibri" w:cs="Calibri" w:eastAsia="Calibri" w:hAnsi="Calibri"/>
          <w:b/>
          <w:bCs/>
          <w:color w:val="0A1628"/>
          <w:sz w:val="19"/>
          <w:szCs w:val="19"/>
        </w:rPr>
        <w:t xml:space="preserve">3.1 Notario Titular</w:t>
      </w:r>
    </w:p>
    <w:p>
      <w:pPr>
        <w:pStyle w:val="ListParagraph"/>
        <w:numPr>
          <w:ilvl w:val="0"/>
          <w:numId w:val="1"/>
        </w:numPr>
        <w:spacing w:after="40"/>
      </w:pPr>
      <w:r>
        <w:rPr>
          <w:rFonts w:ascii="Calibri" w:cs="Calibri" w:eastAsia="Calibri" w:hAnsi="Calibri"/>
          <w:sz w:val="20"/>
          <w:szCs w:val="20"/>
        </w:rPr>
        <w:t xml:space="preserve">Responsable personal y directo del cumplimiento de este Manual ante el SAT y ante la autoridad estatal competente sobre la fe pública.</w:t>
      </w:r>
    </w:p>
    <w:p>
      <w:pPr>
        <w:pStyle w:val="ListParagraph"/>
        <w:numPr>
          <w:ilvl w:val="0"/>
          <w:numId w:val="1"/>
        </w:numPr>
        <w:spacing w:after="40"/>
      </w:pPr>
      <w:r>
        <w:rPr>
          <w:rFonts w:ascii="Calibri" w:cs="Calibri" w:eastAsia="Calibri" w:hAnsi="Calibri"/>
          <w:sz w:val="20"/>
          <w:szCs w:val="20"/>
        </w:rPr>
        <w:t xml:space="preserve">Mantiene el registro vigente en el portal SPPLD.</w:t>
      </w:r>
    </w:p>
    <w:p>
      <w:pPr>
        <w:pStyle w:val="ListParagraph"/>
        <w:numPr>
          <w:ilvl w:val="0"/>
          <w:numId w:val="1"/>
        </w:numPr>
        <w:spacing w:after="40"/>
      </w:pPr>
      <w:r>
        <w:rPr>
          <w:rFonts w:ascii="Calibri" w:cs="Calibri" w:eastAsia="Calibri" w:hAnsi="Calibri"/>
          <w:sz w:val="20"/>
          <w:szCs w:val="20"/>
        </w:rPr>
        <w:t xml:space="preserve">Presenta los avisos correspondientes dentro de los plazos legales.</w:t>
      </w:r>
    </w:p>
    <w:p>
      <w:pPr>
        <w:spacing w:after="60" w:before="120"/>
      </w:pPr>
      <w:r>
        <w:rPr>
          <w:rFonts w:ascii="Calibri" w:cs="Calibri" w:eastAsia="Calibri" w:hAnsi="Calibri"/>
          <w:b/>
          <w:bCs/>
          <w:color w:val="0A1628"/>
          <w:sz w:val="19"/>
          <w:szCs w:val="19"/>
        </w:rPr>
        <w:t xml:space="preserve">3.2 Encargado Operativo interno (opcional — D2-NOT)</w:t>
      </w:r>
    </w:p>
    <w:p>
      <w:pPr>
        <w:pStyle w:val="ListParagraph"/>
        <w:numPr>
          <w:ilvl w:val="0"/>
          <w:numId w:val="1"/>
        </w:numPr>
        <w:spacing w:after="40"/>
      </w:pPr>
      <w:r>
        <w:rPr>
          <w:rFonts w:ascii="Calibri" w:cs="Calibri" w:eastAsia="Calibri" w:hAnsi="Calibri"/>
          <w:sz w:val="20"/>
          <w:szCs w:val="20"/>
        </w:rPr>
        <w:t xml:space="preserve">Auxilia en la integración de expedientes KYC, la aplicación de la Metodología EBR y el seguimiento de plazos de avisos, bajo la supervisión y responsabilidad personal del Notario Titular.</w:t>
      </w:r>
    </w:p>
    <w:p>
      <w:pPr>
        <w:shd w:fill="1F3864" w:val="clear"/>
        <w:spacing w:after="100" w:before="220"/>
      </w:pPr>
      <w:r>
        <w:rPr>
          <w:rFonts w:ascii="Calibri" w:cs="Calibri" w:eastAsia="Calibri" w:hAnsi="Calibri"/>
          <w:b/>
          <w:bCs/>
          <w:color w:val="FFFFFF"/>
          <w:sz w:val="22"/>
          <w:szCs w:val="22"/>
        </w:rPr>
        <w:t xml:space="preserve">Capítulo 4: Identificación y Conocimiento del Cliente (KYC)</w:t>
      </w:r>
    </w:p>
    <w:p>
      <w:pPr>
        <w:spacing w:after="110"/>
      </w:pPr>
      <w:r>
        <w:rPr>
          <w:rFonts w:ascii="Calibri" w:cs="Calibri" w:eastAsia="Calibri" w:hAnsi="Calibri"/>
          <w:sz w:val="20"/>
          <w:szCs w:val="20"/>
        </w:rPr>
        <w:t xml:space="preserve">Toda persona que comparezca a formalizar un acto ante la fe pública del Notario debe ser identificada ANTES de la formalización. Se integra un expediente KYC conforme al Documento D7-NOT.</w:t>
      </w:r>
    </w:p>
    <w:p>
      <w:pPr>
        <w:spacing w:after="60" w:before="120"/>
      </w:pPr>
      <w:r>
        <w:rPr>
          <w:rFonts w:ascii="Calibri" w:cs="Calibri" w:eastAsia="Calibri" w:hAnsi="Calibri"/>
          <w:b/>
          <w:bCs/>
          <w:color w:val="0A1628"/>
          <w:sz w:val="19"/>
          <w:szCs w:val="19"/>
        </w:rPr>
        <w:t xml:space="preserve">4.1 Umbrales de identificación y aviso (Fracción XII, Apartado A — UMA 2026: $117.31 MXN)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500"/>
        <w:gridCol w:w="2550"/>
      </w:tblGrid>
      <w:tr>
        <w:trPr>
          <w:tblHeader/>
        </w:trPr>
        <w:tc>
          <w:tcPr>
            <w:tcW w:type="dxa" w:w="9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Inciso</w:t>
            </w:r>
          </w:p>
        </w:tc>
        <w:tc>
          <w:tcPr>
            <w:tcW w:type="dxa" w:w="34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Acto</w:t>
            </w:r>
          </w:p>
        </w:tc>
        <w:tc>
          <w:tcPr>
            <w:tcW w:type="dxa" w:w="25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Umbral de identificación</w:t>
            </w:r>
          </w:p>
        </w:tc>
        <w:tc>
          <w:tcPr>
            <w:tcW w:type="dxa" w:w="255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Umbral de aviso</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a)</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Transmisión de inmuebles</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8,000 UMA (~$938,480 MXN)</w:t>
            </w:r>
          </w:p>
        </w:tc>
      </w:tr>
      <w:tr>
        <w:tc>
          <w:tcPr>
            <w:tcW w:type="dxa" w:w="9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b)</w:t>
            </w:r>
          </w:p>
        </w:tc>
        <w:tc>
          <w:tcPr>
            <w:tcW w:type="dxa" w:w="34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Poder irrevocable</w:t>
            </w:r>
          </w:p>
        </w:tc>
        <w:tc>
          <w:tcPr>
            <w:tcW w:type="dxa" w:w="25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c)</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Sociedades / capital / fusión / acciones</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r>
        <w:tc>
          <w:tcPr>
            <w:tcW w:type="dxa" w:w="9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d)</w:t>
            </w:r>
          </w:p>
        </w:tc>
        <w:tc>
          <w:tcPr>
            <w:tcW w:type="dxa" w:w="34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Fideicomiso traslativo o de garantía</w:t>
            </w:r>
          </w:p>
        </w:tc>
        <w:tc>
          <w:tcPr>
            <w:tcW w:type="dxa" w:w="25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4,000 UMA (~$469,240 MXN)</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e)</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Mutuo o crédito</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bl>
    <w:p>
      <w:pPr>
        <w:shd w:fill="1F3864" w:val="clear"/>
        <w:spacing w:after="100" w:before="220"/>
      </w:pPr>
      <w:r>
        <w:rPr>
          <w:rFonts w:ascii="Calibri" w:cs="Calibri" w:eastAsia="Calibri" w:hAnsi="Calibri"/>
          <w:b/>
          <w:bCs/>
          <w:color w:val="FFFFFF"/>
          <w:sz w:val="22"/>
          <w:szCs w:val="22"/>
        </w:rPr>
        <w:t xml:space="preserve">Capítulo 5: Enfoque Basado en Riesgo (EBR)</w:t>
      </w:r>
    </w:p>
    <w:p>
      <w:pPr>
        <w:spacing w:after="110"/>
      </w:pPr>
      <w:r>
        <w:rPr>
          <w:rFonts w:ascii="Calibri" w:cs="Calibri" w:eastAsia="Calibri" w:hAnsi="Calibri"/>
          <w:sz w:val="20"/>
          <w:szCs w:val="20"/>
        </w:rPr>
        <w:t xml:space="preserve">La Notaría clasifica a sus clientes en tres niveles de riesgo (BAJO, MEDIO, ALTO) utilizando la Metodología EBR del Documento D6-NOT. Factores evaluados: perfil del cliente, origen de fondos o del bien, tipo de acto notarial, monto, zona geográfica y vínculo con PEP's.</w:t>
      </w:r>
    </w:p>
    <w:p>
      <w:pPr>
        <w:shd w:fill="1F3864" w:val="clear"/>
        <w:spacing w:after="100" w:before="220"/>
      </w:pPr>
      <w:r>
        <w:rPr>
          <w:rFonts w:ascii="Calibri" w:cs="Calibri" w:eastAsia="Calibri" w:hAnsi="Calibri"/>
          <w:b/>
          <w:bCs/>
          <w:color w:val="FFFFFF"/>
          <w:sz w:val="22"/>
          <w:szCs w:val="22"/>
        </w:rPr>
        <w:t xml:space="preserve">Capítulo 6: Personas Expuestas Políticamente (PEP's) y Beneficiario Controlador</w:t>
      </w:r>
    </w:p>
    <w:p>
      <w:pPr>
        <w:spacing w:after="110"/>
      </w:pPr>
      <w:r>
        <w:rPr>
          <w:rFonts w:ascii="Calibri" w:cs="Calibri" w:eastAsia="Calibri" w:hAnsi="Calibri"/>
          <w:sz w:val="20"/>
          <w:szCs w:val="20"/>
        </w:rPr>
        <w:t xml:space="preserve">Se considera PEP a toda persona que desempeña o ha desempeñado funciones públicas prominentes durante los 12 meses anteriores al acto. Ver Política de PEP's, Documento D8 (aplicable sin modificación a la variante notarial).</w:t>
      </w:r>
    </w:p>
    <w:p>
      <w:pPr>
        <w:spacing w:after="110"/>
      </w:pPr>
      <w:r>
        <w:rPr>
          <w:rFonts w:ascii="Calibri" w:cs="Calibri" w:eastAsia="Calibri" w:hAnsi="Calibri"/>
          <w:sz w:val="20"/>
          <w:szCs w:val="20"/>
        </w:rPr>
        <w:t xml:space="preserve">Adicionalmente, conforme al reforzamiento de julio 2025, el Notario debe identificar al beneficiario controlador en TODOS los actos, incluso cuando no tenga relación directa y aparente con el cliente compareciente — ver Sección E del Documento D7-NOT.</w:t>
      </w:r>
    </w:p>
    <w:p>
      <w:pPr>
        <w:shd w:fill="1F3864" w:val="clear"/>
        <w:spacing w:after="100" w:before="220"/>
      </w:pPr>
      <w:r>
        <w:rPr>
          <w:rFonts w:ascii="Calibri" w:cs="Calibri" w:eastAsia="Calibri" w:hAnsi="Calibri"/>
          <w:b/>
          <w:bCs/>
          <w:color w:val="FFFFFF"/>
          <w:sz w:val="22"/>
          <w:szCs w:val="22"/>
        </w:rPr>
        <w:t xml:space="preserve">Capítulo 7: Operaciones Inusuales</w:t>
      </w:r>
    </w:p>
    <w:p>
      <w:pPr>
        <w:spacing w:after="110"/>
      </w:pPr>
      <w:r>
        <w:rPr>
          <w:rFonts w:ascii="Calibri" w:cs="Calibri" w:eastAsia="Calibri" w:hAnsi="Calibri"/>
          <w:sz w:val="20"/>
          <w:szCs w:val="20"/>
        </w:rPr>
        <w:t xml:space="preserve">El catálogo de señales de alerta específicas por inciso, así como el procedimiento de reporte interno y presentación del Aviso dentro de las 24 horas siguientes a la detección, se encuentra en el Documento D9-NOT.</w:t>
      </w:r>
    </w:p>
    <w:p>
      <w:pPr>
        <w:shd w:fill="1F3864" w:val="clear"/>
        <w:spacing w:after="100" w:before="220"/>
      </w:pPr>
      <w:r>
        <w:rPr>
          <w:rFonts w:ascii="Calibri" w:cs="Calibri" w:eastAsia="Calibri" w:hAnsi="Calibri"/>
          <w:b/>
          <w:bCs/>
          <w:color w:val="FFFFFF"/>
          <w:sz w:val="22"/>
          <w:szCs w:val="22"/>
        </w:rPr>
        <w:t xml:space="preserve">Capítulo 8: Restricción de Pagos en Efectivo</w:t>
      </w:r>
    </w:p>
    <w:p>
      <w:pPr>
        <w:spacing w:after="110"/>
      </w:pPr>
      <w:r>
        <w:rPr>
          <w:rFonts w:ascii="Calibri" w:cs="Calibri" w:eastAsia="Calibri" w:hAnsi="Calibri"/>
          <w:sz w:val="20"/>
          <w:szCs w:val="20"/>
        </w:rPr>
        <w:t xml:space="preserve">Conforme al artículo 32, fracción I de la LFPIORPI, está PROHIBIDO aceptar pagos en efectivo para la constitución o transmisión de derechos reales sobre inmuebles por un valor igual o superior a 8,025 veces el valor diario de la UMA (~$941,512 MXN 2026) — umbral distinto y ligeramente superior al umbral de aviso del inciso a) de la Fracción XII (8,000 UMA), por tratarse de una obligación de un artículo diferente.</w:t>
      </w:r>
    </w:p>
    <w:p>
      <w:pPr>
        <w:spacing w:after="110"/>
      </w:pPr>
      <w:r>
        <w:rPr>
          <w:rFonts w:ascii="Calibri" w:cs="Calibri" w:eastAsia="Calibri" w:hAnsi="Calibri"/>
          <w:sz w:val="20"/>
          <w:szCs w:val="20"/>
        </w:rPr>
        <w:t xml:space="preserve">Adicionalmente, conforme al artículo 33, el Notario debe identificar la forma de pago en los instrumentos que autorice cuando el valor de la operación sea igual o superior a 8,025 UMA, y anexar el comprobante respectivo.</w:t>
      </w:r>
    </w:p>
    <w:p>
      <w:pPr>
        <w:shd w:fill="1F3864" w:val="clear"/>
        <w:spacing w:after="100" w:before="220"/>
      </w:pPr>
      <w:r>
        <w:rPr>
          <w:rFonts w:ascii="Calibri" w:cs="Calibri" w:eastAsia="Calibri" w:hAnsi="Calibri"/>
          <w:b/>
          <w:bCs/>
          <w:color w:val="FFFFFF"/>
          <w:sz w:val="22"/>
          <w:szCs w:val="22"/>
        </w:rPr>
        <w:t xml:space="preserve">Capítulo 9: Presentación de Avisos ante el SAT</w:t>
      </w:r>
    </w:p>
    <w:p>
      <w:pPr>
        <w:spacing w:after="110"/>
      </w:pPr>
      <w:r>
        <w:rPr>
          <w:rFonts w:ascii="Calibri" w:cs="Calibri" w:eastAsia="Calibri" w:hAnsi="Calibri"/>
          <w:sz w:val="20"/>
          <w:szCs w:val="20"/>
        </w:rPr>
        <w:t xml:space="preserve">Los avisos se presentan a más tardar el día 17 del mes inmediato siguiente a aquel en que se realizó el acto, conforme al artículo 23. El control mensual de actos y avisos, así como el procedimiento de informe en ceros, se documenta en el Documento D12-NOT. El registro inicial ante el portal SPPLD se documenta en el Documento D3-NOT.</w:t>
      </w:r>
    </w:p>
    <w:p>
      <w:pPr>
        <w:shd w:fill="1F3864" w:val="clear"/>
        <w:spacing w:after="100" w:before="220"/>
      </w:pPr>
      <w:r>
        <w:rPr>
          <w:rFonts w:ascii="Calibri" w:cs="Calibri" w:eastAsia="Calibri" w:hAnsi="Calibri"/>
          <w:b/>
          <w:bCs/>
          <w:color w:val="FFFFFF"/>
          <w:sz w:val="22"/>
          <w:szCs w:val="22"/>
        </w:rPr>
        <w:t xml:space="preserve">Capítulo 10: Resguardo Documental</w:t>
      </w:r>
    </w:p>
    <w:p>
      <w:pPr>
        <w:spacing w:after="110"/>
      </w:pPr>
      <w:r>
        <w:rPr>
          <w:rFonts w:ascii="Calibri" w:cs="Calibri" w:eastAsia="Calibri" w:hAnsi="Calibri"/>
          <w:sz w:val="20"/>
          <w:szCs w:val="20"/>
        </w:rPr>
        <w:t xml:space="preserve">Aplica sin modificación estructural la Política de Resguardo Documental, Documento D10 — plazo de conservación de 10 años conforme al artículo 18, fracción IV.</w:t>
      </w:r>
    </w:p>
    <w:p>
      <w:pPr>
        <w:shd w:fill="1F3864" w:val="clear"/>
        <w:spacing w:after="100" w:before="220"/>
      </w:pPr>
      <w:r>
        <w:rPr>
          <w:rFonts w:ascii="Calibri" w:cs="Calibri" w:eastAsia="Calibri" w:hAnsi="Calibri"/>
          <w:b/>
          <w:bCs/>
          <w:color w:val="FFFFFF"/>
          <w:sz w:val="22"/>
          <w:szCs w:val="22"/>
        </w:rPr>
        <w:t xml:space="preserve">Capítulo 11: Capacitación</w:t>
      </w:r>
    </w:p>
    <w:p>
      <w:pPr>
        <w:spacing w:after="110"/>
      </w:pPr>
      <w:r>
        <w:rPr>
          <w:rFonts w:ascii="Calibri" w:cs="Calibri" w:eastAsia="Calibri" w:hAnsi="Calibri"/>
          <w:sz w:val="20"/>
          <w:szCs w:val="20"/>
        </w:rPr>
        <w:t xml:space="preserve">Aplica el Programa Anual de Capacitación, Documento D11, actualizando los ejemplos y casos prácticos al contexto notarial (D11B/D11C).</w:t>
      </w:r>
    </w:p>
    <w:p>
      <w:pPr>
        <w:shd w:fill="1F3864" w:val="clear"/>
        <w:spacing w:after="100" w:before="220"/>
      </w:pPr>
      <w:r>
        <w:rPr>
          <w:rFonts w:ascii="Calibri" w:cs="Calibri" w:eastAsia="Calibri" w:hAnsi="Calibri"/>
          <w:b/>
          <w:bCs/>
          <w:color w:val="FFFFFF"/>
          <w:sz w:val="22"/>
          <w:szCs w:val="22"/>
        </w:rPr>
        <w:t xml:space="preserve">Capítulo 12: Auditoría Interna</w:t>
      </w:r>
    </w:p>
    <w:p>
      <w:pPr>
        <w:spacing w:after="110"/>
      </w:pPr>
      <w:r>
        <w:rPr>
          <w:rFonts w:ascii="Calibri" w:cs="Calibri" w:eastAsia="Calibri" w:hAnsi="Calibri"/>
          <w:sz w:val="20"/>
          <w:szCs w:val="20"/>
        </w:rPr>
        <w:t xml:space="preserve">Aplica sin modificación estructural el esquema de Auditoría Interna, Documento D13, conforme al artículo 18, fracción XI.</w:t>
      </w:r>
    </w:p>
    <w:p>
      <w:pPr>
        <w:shd w:fill="1F3864" w:val="clear"/>
        <w:spacing w:after="100" w:before="220"/>
      </w:pPr>
      <w:r>
        <w:rPr>
          <w:rFonts w:ascii="Calibri" w:cs="Calibri" w:eastAsia="Calibri" w:hAnsi="Calibri"/>
          <w:b/>
          <w:bCs/>
          <w:color w:val="FFFFFF"/>
          <w:sz w:val="22"/>
          <w:szCs w:val="22"/>
        </w:rPr>
        <w:t xml:space="preserve">Capítulo 13: Sanciones Aplicables</w:t>
      </w:r>
    </w:p>
    <w:p>
      <w:pPr>
        <w:spacing w:after="110"/>
      </w:pPr>
      <w:r>
        <w:rPr>
          <w:rFonts w:ascii="Calibri" w:cs="Calibri" w:eastAsia="Calibri" w:hAnsi="Calibri"/>
          <w:sz w:val="20"/>
          <w:szCs w:val="20"/>
        </w:rPr>
        <w:t xml:space="preserve">La multa por omisión de avisos o por participar en operaciones con efectivo prohibidas (Art. 53, fraccs. VI y VII), conforme al artículo 54, fracción III, va de 10,000 a 65,000 UMA, o del 10% al 100% del valor del acto — lo que resulte mayor.</w:t>
      </w:r>
    </w:p>
    <w:p>
      <w:pPr>
        <w:spacing w:after="110"/>
      </w:pPr>
      <w:r>
        <w:rPr>
          <w:rFonts w:ascii="Calibri" w:cs="Calibri" w:eastAsia="Calibri" w:hAnsi="Calibri"/>
          <w:sz w:val="20"/>
          <w:szCs w:val="20"/>
        </w:rPr>
        <w:t xml:space="preserve">A diferencia del régimen inmobiliario, el incumplimiento notarial puede además activar, conforme al artículo 58, un procedimiento ante la autoridad estatal competente sobre la fe pública cuando el SAT determina la existencia de "notorias deficiencias", con las consecuencias que determine la Ley del Notariado aplicable. Ver Documento D0-NOT.</w:t>
      </w:r>
    </w:p>
    <w:p>
      <w:pPr>
        <w:shd w:fill="1F3864" w:val="clear"/>
        <w:spacing w:after="100" w:before="220"/>
      </w:pPr>
      <w:r>
        <w:rPr>
          <w:rFonts w:ascii="Calibri" w:cs="Calibri" w:eastAsia="Calibri" w:hAnsi="Calibri"/>
          <w:b/>
          <w:bCs/>
          <w:color w:val="FFFFFF"/>
          <w:sz w:val="22"/>
          <w:szCs w:val="22"/>
        </w:rPr>
        <w:t xml:space="preserve">Capítulo 14: Actualización del Manual</w:t>
      </w:r>
    </w:p>
    <w:p>
      <w:pPr>
        <w:spacing w:after="110"/>
      </w:pPr>
      <w:r>
        <w:rPr>
          <w:rFonts w:ascii="Calibri" w:cs="Calibri" w:eastAsia="Calibri" w:hAnsi="Calibri"/>
          <w:sz w:val="20"/>
          <w:szCs w:val="20"/>
        </w:rPr>
        <w:t xml:space="preserve">Este Manual se revisa con periodicidad anual y cada vez que se publique una reforma a la LFPIORPI, su Reglamento o las Reglas de Carácter General aplicables.</w:t>
      </w:r>
    </w:p>
    <w:p>
      <w:pPr>
        <w:shd w:fill="1F3864" w:val="clear"/>
        <w:spacing w:after="100" w:before="220"/>
      </w:pPr>
      <w:r>
        <w:rPr>
          <w:rFonts w:ascii="Calibri" w:cs="Calibri" w:eastAsia="Calibri" w:hAnsi="Calibri"/>
          <w:b/>
          <w:bCs/>
          <w:color w:val="FFFFFF"/>
          <w:sz w:val="22"/>
          <w:szCs w:val="22"/>
        </w:rPr>
        <w:t xml:space="preserve">Capítulo 15: Glosario</w:t>
      </w:r>
    </w:p>
    <w:p>
      <w:pPr>
        <w:pStyle w:val="ListParagraph"/>
        <w:numPr>
          <w:ilvl w:val="0"/>
          <w:numId w:val="1"/>
        </w:numPr>
        <w:spacing w:after="40"/>
      </w:pPr>
      <w:r>
        <w:rPr>
          <w:rFonts w:ascii="Calibri" w:cs="Calibri" w:eastAsia="Calibri" w:hAnsi="Calibri"/>
          <w:sz w:val="20"/>
          <w:szCs w:val="20"/>
        </w:rPr>
        <w:t xml:space="preserve">LFPIORPI: Ley Federal para la Prevención e Identificación de Operaciones con Recursos de Procedencia Ilícita.</w:t>
      </w:r>
    </w:p>
    <w:p>
      <w:pPr>
        <w:pStyle w:val="ListParagraph"/>
        <w:numPr>
          <w:ilvl w:val="0"/>
          <w:numId w:val="1"/>
        </w:numPr>
        <w:spacing w:after="40"/>
      </w:pPr>
      <w:r>
        <w:rPr>
          <w:rFonts w:ascii="Calibri" w:cs="Calibri" w:eastAsia="Calibri" w:hAnsi="Calibri"/>
          <w:sz w:val="20"/>
          <w:szCs w:val="20"/>
        </w:rPr>
        <w:t xml:space="preserve">UMA: Unidad de Medida y Actualización.</w:t>
      </w:r>
    </w:p>
    <w:p>
      <w:pPr>
        <w:pStyle w:val="ListParagraph"/>
        <w:numPr>
          <w:ilvl w:val="0"/>
          <w:numId w:val="1"/>
        </w:numPr>
        <w:spacing w:after="40"/>
      </w:pPr>
      <w:r>
        <w:rPr>
          <w:rFonts w:ascii="Calibri" w:cs="Calibri" w:eastAsia="Calibri" w:hAnsi="Calibri"/>
          <w:sz w:val="20"/>
          <w:szCs w:val="20"/>
        </w:rPr>
        <w:t xml:space="preserve">PLD/FT: Prevención de Lavado de Dinero y Financiamiento al Terrorismo.</w:t>
      </w:r>
    </w:p>
    <w:p>
      <w:pPr>
        <w:pStyle w:val="ListParagraph"/>
        <w:numPr>
          <w:ilvl w:val="0"/>
          <w:numId w:val="1"/>
        </w:numPr>
        <w:spacing w:after="40"/>
      </w:pPr>
      <w:r>
        <w:rPr>
          <w:rFonts w:ascii="Calibri" w:cs="Calibri" w:eastAsia="Calibri" w:hAnsi="Calibri"/>
          <w:sz w:val="20"/>
          <w:szCs w:val="20"/>
        </w:rPr>
        <w:t xml:space="preserve">Beneficiario Controlador: persona física que en última instancia obtiene el beneficio o ejerce el control efectivo del acto u operación.</w:t>
      </w:r>
    </w:p>
    <w:p>
      <w:pPr>
        <w:pStyle w:val="ListParagraph"/>
        <w:numPr>
          <w:ilvl w:val="0"/>
          <w:numId w:val="1"/>
        </w:numPr>
        <w:spacing w:after="40"/>
      </w:pPr>
      <w:r>
        <w:rPr>
          <w:rFonts w:ascii="Calibri" w:cs="Calibri" w:eastAsia="Calibri" w:hAnsi="Calibri"/>
          <w:sz w:val="20"/>
          <w:szCs w:val="20"/>
        </w:rPr>
        <w:t xml:space="preserve">SPPLD: Sistema/Portal de Prevención de Lavado de Dinero del SAT.</w:t>
      </w:r>
    </w:p>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2026-09-09T01:37:42.627Z</dcterms:created>
  <dcterms:modified xsi:type="dcterms:W3CDTF">2026-09-09T01:37:42.627Z</dcterms:modified>
</cp:coreProperties>
</file>

<file path=docProps/custom.xml><?xml version="1.0" encoding="utf-8"?>
<Properties xmlns="http://schemas.openxmlformats.org/officeDocument/2006/custom-properties" xmlns:vt="http://schemas.openxmlformats.org/officeDocument/2006/docPropsVTypes"/>
</file>