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1F3864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CERTUS PLD</w:t>
            </w:r>
            <w:r>
              <w:rPr>
                <w:rFonts w:ascii="Calibri" w:cs="Calibri" w:eastAsia="Calibri" w:hAnsi="Calibri"/>
                <w:color w:val="B08D57"/>
                <w:sz w:val="22"/>
                <w:szCs w:val="22"/>
              </w:rPr>
              <w:t xml:space="preserve">   |   </w:t>
            </w:r>
            <w:r>
              <w:rPr>
                <w:rFonts w:ascii="Calibri" w:cs="Calibri" w:eastAsia="Calibri" w:hAnsi="Calibri"/>
                <w:b/>
                <w:bCs/>
                <w:color w:val="B08D57"/>
                <w:sz w:val="22"/>
                <w:szCs w:val="22"/>
              </w:rPr>
              <w:t xml:space="preserve">D6-NOT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Metodología de Enfoque Basado en Riesgo (EBR) — Notarías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D9D9D9"/>
                <w:sz w:val="18"/>
                <w:szCs w:val="18"/>
              </w:rPr>
              <w:t xml:space="preserve">Notaría: [Denominación de la Notaría]   │   Variante: Fe Pública — Fracción XII LFPIORPI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c>
          <w:tcPr>
            <w:tcW w:type="dxa" w:w="2600"/>
            <w:shd w:fill="EDEDE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Notaría: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[Denominación completa de la Notaría]</w:t>
            </w:r>
          </w:p>
        </w:tc>
      </w:tr>
      <w:tr>
        <w:tc>
          <w:tcPr>
            <w:tcW w:type="dxa" w:w="2600"/>
            <w:shd w:fill="EDEDE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Versión: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shd w:fill="EDEDE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 de adopción: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[Fecha]</w:t>
            </w:r>
          </w:p>
        </w:tc>
      </w:tr>
      <w:tr>
        <w:tc>
          <w:tcPr>
            <w:tcW w:type="dxa" w:w="2600"/>
            <w:shd w:fill="EDEDE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Elaboró: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CERTUS CONSULTORES │ Certus PLD</w:t>
            </w:r>
          </w:p>
        </w:tc>
      </w:tr>
      <w:tr>
        <w:tc>
          <w:tcPr>
            <w:tcW w:type="dxa" w:w="2600"/>
            <w:shd w:fill="EDEDE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Vigencia: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Anual — revisión obligatoria</w:t>
            </w:r>
          </w:p>
        </w:tc>
      </w:tr>
    </w:tbl>
    <w:p/>
    <w:p>
      <w:pPr>
        <w:pBdr>
          <w:bottom w:val="single" w:color="B08D57" w:sz="6" w:space="2"/>
        </w:pBdr>
        <w:spacing w:after="140" w:before="2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I. Objetivo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La Metodología EBR establece el procedimiento para la evaluación, clasificación y gestión del riesgo PLD/FT de los clientes de la Notaría, en cumplimiento del artículo 18, fracción III (VII conforme a la reforma DOF 16/07/2025) de la LFPIORPI. Cada cliente se evalúa en 6 factores con escala de 1 a 3 puntos, produciendo una puntuación total sobre 18 que determina su nivel de riesgo — misma escala utilizada en el Expediente KYC (D7-NOT, Sección D).</w:t>
      </w:r>
    </w:p>
    <w:p>
      <w:pPr>
        <w:pBdr>
          <w:bottom w:val="single" w:color="B08D57" w:sz="6" w:space="2"/>
        </w:pBdr>
        <w:spacing w:after="140" w:before="2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II. Matriz de 6 Factores de Riesgo — Adaptada a Actos ante Fe Pública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0A1628"/>
          <w:sz w:val="21"/>
          <w:szCs w:val="21"/>
        </w:rPr>
        <w:t xml:space="preserve">Factor 1 — Perfil del cliente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83"/>
        <w:gridCol w:w="2383"/>
        <w:gridCol w:w="2384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2383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Bajo (1)</w:t>
            </w:r>
          </w:p>
        </w:tc>
        <w:tc>
          <w:tcPr>
            <w:tcW w:type="dxa" w:w="2383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Medio (2)</w:t>
            </w:r>
          </w:p>
        </w:tc>
        <w:tc>
          <w:tcPr>
            <w:tcW w:type="dxa" w:w="2384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Alto (3)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Tipo de persona y residencia</w:t>
            </w:r>
          </w:p>
        </w:tc>
        <w:tc>
          <w:tcPr>
            <w:tcW w:type="dxa" w:w="2383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PF residente en México con identificación verificada</w:t>
            </w:r>
          </w:p>
        </w:tc>
        <w:tc>
          <w:tcPr>
            <w:tcW w:type="dxa" w:w="2383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PF con fondos de fuente no habitual o PM de reciente constitución</w:t>
            </w:r>
          </w:p>
        </w:tc>
        <w:tc>
          <w:tcPr>
            <w:tcW w:type="dxa" w:w="2384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PM con estructura compleja, beneficiario controlador difícil de identificar, o no residente</w:t>
            </w:r>
          </w:p>
        </w:tc>
      </w:tr>
    </w:tbl>
    <w:p>
      <w:pPr>
        <w:spacing w:after="80" w:before="160"/>
      </w:pPr>
      <w:r>
        <w:rPr>
          <w:rFonts w:ascii="Calibri" w:cs="Calibri" w:eastAsia="Calibri" w:hAnsi="Calibri"/>
          <w:b/>
          <w:bCs/>
          <w:color w:val="0A1628"/>
          <w:sz w:val="21"/>
          <w:szCs w:val="21"/>
        </w:rPr>
        <w:t xml:space="preserve">Factor 2 — Origen de fondos o del bien aportado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83"/>
        <w:gridCol w:w="2383"/>
        <w:gridCol w:w="2384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2383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Bajo (1)</w:t>
            </w:r>
          </w:p>
        </w:tc>
        <w:tc>
          <w:tcPr>
            <w:tcW w:type="dxa" w:w="2383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Medio (2)</w:t>
            </w:r>
          </w:p>
        </w:tc>
        <w:tc>
          <w:tcPr>
            <w:tcW w:type="dxa" w:w="2384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Alto (3)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Cómo se financian los recursos u origen del bien</w:t>
            </w:r>
          </w:p>
        </w:tc>
        <w:tc>
          <w:tcPr>
            <w:tcW w:type="dxa" w:w="2383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Recursos propios comprobables (nómina, actividad empresarial documentada)</w:t>
            </w:r>
          </w:p>
        </w:tc>
        <w:tc>
          <w:tcPr>
            <w:tcW w:type="dxa" w:w="2383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Fondos mixtos, préstamo familiar, o bien aportado con antigüedad acreditable</w:t>
            </w:r>
          </w:p>
        </w:tc>
        <w:tc>
          <w:tcPr>
            <w:tcW w:type="dxa" w:w="2384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Fondos en efectivo, criptomonedas, o procedencia no acreditada</w:t>
            </w:r>
          </w:p>
        </w:tc>
      </w:tr>
    </w:tbl>
    <w:p>
      <w:pPr>
        <w:spacing w:after="80" w:before="160"/>
      </w:pPr>
      <w:r>
        <w:rPr>
          <w:rFonts w:ascii="Calibri" w:cs="Calibri" w:eastAsia="Calibri" w:hAnsi="Calibri"/>
          <w:b/>
          <w:bCs/>
          <w:color w:val="0A1628"/>
          <w:sz w:val="21"/>
          <w:szCs w:val="21"/>
        </w:rPr>
        <w:t xml:space="preserve">Factor 3 — Tipo de acto notarial (Fracción XII, Apartado A)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83"/>
        <w:gridCol w:w="2383"/>
        <w:gridCol w:w="2384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2383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Bajo (1)</w:t>
            </w:r>
          </w:p>
        </w:tc>
        <w:tc>
          <w:tcPr>
            <w:tcW w:type="dxa" w:w="2383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Medio (2)</w:t>
            </w:r>
          </w:p>
        </w:tc>
        <w:tc>
          <w:tcPr>
            <w:tcW w:type="dxa" w:w="2384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Alto (3)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Naturaleza del acto ante fe pública</w:t>
            </w:r>
          </w:p>
        </w:tc>
        <w:tc>
          <w:tcPr>
            <w:tcW w:type="dxa" w:w="2383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a) Transmisión de inmueble residencial para uso propio del comprador identificado</w:t>
            </w:r>
          </w:p>
        </w:tc>
        <w:tc>
          <w:tcPr>
            <w:tcW w:type="dxa" w:w="2383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c) Constitución de sociedad con socios identificables y giro lícito habitual; d) fideicomiso de garantía simple con acreedor institucional</w:t>
            </w:r>
          </w:p>
        </w:tc>
        <w:tc>
          <w:tcPr>
            <w:tcW w:type="dxa" w:w="2384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b) Poder irrevocable a favor de tercero sin vínculo aparente; c) sociedad con estructura de capital opaca o extranjera; d) fideicomiso traslativo complejo; e) mutuo sin garantía entre partes sin vínculo aparente</w:t>
            </w:r>
          </w:p>
        </w:tc>
      </w:tr>
    </w:tbl>
    <w:p>
      <w:pPr>
        <w:spacing w:after="80" w:before="160"/>
      </w:pPr>
      <w:r>
        <w:rPr>
          <w:rFonts w:ascii="Calibri" w:cs="Calibri" w:eastAsia="Calibri" w:hAnsi="Calibri"/>
          <w:b/>
          <w:bCs/>
          <w:color w:val="0A1628"/>
          <w:sz w:val="21"/>
          <w:szCs w:val="21"/>
        </w:rPr>
        <w:t xml:space="preserve">Factor 4 — Monto del acto u operación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83"/>
        <w:gridCol w:w="2383"/>
        <w:gridCol w:w="2384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2383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Bajo (1)</w:t>
            </w:r>
          </w:p>
        </w:tc>
        <w:tc>
          <w:tcPr>
            <w:tcW w:type="dxa" w:w="2383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Medio (2)</w:t>
            </w:r>
          </w:p>
        </w:tc>
        <w:tc>
          <w:tcPr>
            <w:tcW w:type="dxa" w:w="2384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Alto (3)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Valor económico del acto (referencia general — los incisos b, c y e son SIEMPRE objeto de aviso independientemente del monto)</w:t>
            </w:r>
          </w:p>
        </w:tc>
        <w:tc>
          <w:tcPr>
            <w:tcW w:type="dxa" w:w="2383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Menor a 4,000 UMA (~$469,240 MXN)</w:t>
            </w:r>
          </w:p>
        </w:tc>
        <w:tc>
          <w:tcPr>
            <w:tcW w:type="dxa" w:w="2383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Entre 4,000 y 8,000 UMA (~$469,240 a $938,480 MXN)</w:t>
            </w:r>
          </w:p>
        </w:tc>
        <w:tc>
          <w:tcPr>
            <w:tcW w:type="dxa" w:w="2384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Superior a 8,000 UMA (&gt;$938,480 MXN) — umbral de aviso del inciso a)</w:t>
            </w:r>
          </w:p>
        </w:tc>
      </w:tr>
    </w:tbl>
    <w:p>
      <w:pPr>
        <w:spacing w:after="80" w:before="160"/>
      </w:pPr>
      <w:r>
        <w:rPr>
          <w:rFonts w:ascii="Calibri" w:cs="Calibri" w:eastAsia="Calibri" w:hAnsi="Calibri"/>
          <w:b/>
          <w:bCs/>
          <w:color w:val="0A1628"/>
          <w:sz w:val="21"/>
          <w:szCs w:val="21"/>
        </w:rPr>
        <w:t xml:space="preserve">Factor 5 — Zona geográfica del inmueble o domicilio social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83"/>
        <w:gridCol w:w="2383"/>
        <w:gridCol w:w="2384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2383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Bajo (1)</w:t>
            </w:r>
          </w:p>
        </w:tc>
        <w:tc>
          <w:tcPr>
            <w:tcW w:type="dxa" w:w="2383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Medio (2)</w:t>
            </w:r>
          </w:p>
        </w:tc>
        <w:tc>
          <w:tcPr>
            <w:tcW w:type="dxa" w:w="2384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Alto (3)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Ubicación del inmueble o del domicilio social de la persona moral</w:t>
            </w:r>
          </w:p>
        </w:tc>
        <w:tc>
          <w:tcPr>
            <w:tcW w:type="dxa" w:w="2383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Zona residencial o comercial convencional en estado sin alerta</w:t>
            </w:r>
          </w:p>
        </w:tc>
        <w:tc>
          <w:tcPr>
            <w:tcW w:type="dxa" w:w="2383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Zona fronteriza, turística de alta densidad, o con alerta moderada</w:t>
            </w:r>
          </w:p>
        </w:tc>
        <w:tc>
          <w:tcPr>
            <w:tcW w:type="dxa" w:w="2384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Zona con alta incidencia delictiva o clasificada de alto riesgo por GAFI/FATF</w:t>
            </w:r>
          </w:p>
        </w:tc>
      </w:tr>
    </w:tbl>
    <w:p>
      <w:pPr>
        <w:spacing w:after="80" w:before="160"/>
      </w:pPr>
      <w:r>
        <w:rPr>
          <w:rFonts w:ascii="Calibri" w:cs="Calibri" w:eastAsia="Calibri" w:hAnsi="Calibri"/>
          <w:b/>
          <w:bCs/>
          <w:color w:val="0A1628"/>
          <w:sz w:val="21"/>
          <w:szCs w:val="21"/>
        </w:rPr>
        <w:t xml:space="preserve">Factor 6 — Vínculo con Personas Políticamente Expuestas (PEP's)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83"/>
        <w:gridCol w:w="2383"/>
        <w:gridCol w:w="2384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2383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Bajo (1)</w:t>
            </w:r>
          </w:p>
        </w:tc>
        <w:tc>
          <w:tcPr>
            <w:tcW w:type="dxa" w:w="2383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Medio (2)</w:t>
            </w:r>
          </w:p>
        </w:tc>
        <w:tc>
          <w:tcPr>
            <w:tcW w:type="dxa" w:w="2384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Alto (3)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Relación con funcionarios públicos, del cliente, del beneficiario controlador o de socios/apoderados</w:t>
            </w:r>
          </w:p>
        </w:tc>
        <w:tc>
          <w:tcPr>
            <w:tcW w:type="dxa" w:w="2383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Sin vínculo con PEP's declarado y verificado</w:t>
            </w:r>
          </w:p>
        </w:tc>
        <w:tc>
          <w:tcPr>
            <w:tcW w:type="dxa" w:w="2383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Familiar de PEP o vínculo indirecto</w:t>
            </w:r>
          </w:p>
        </w:tc>
        <w:tc>
          <w:tcPr>
            <w:tcW w:type="dxa" w:w="2384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El propio cliente, apoderado, socio o beneficiario controlador es PEP o PEP extranjero</w:t>
            </w:r>
          </w:p>
        </w:tc>
      </w:tr>
    </w:tbl>
    <w:p>
      <w:pPr>
        <w:pBdr>
          <w:bottom w:val="single" w:color="B08D57" w:sz="6" w:space="2"/>
        </w:pBdr>
        <w:spacing w:after="140" w:before="2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III. Clasificación de Riesgo y Acciones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5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Puntuación total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Nivel de riesgo</w:t>
            </w:r>
          </w:p>
        </w:tc>
        <w:tc>
          <w:tcPr>
            <w:tcW w:type="dxa" w:w="41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Acciones requeridas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a 9 puntos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BAJO — VERDE</w:t>
            </w:r>
          </w:p>
        </w:tc>
        <w:tc>
          <w:tcPr>
            <w:tcW w:type="dxa" w:w="41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KYC básico. Expediente estándar. Monitoreo ordinario anual.</w:t>
            </w:r>
          </w:p>
        </w:tc>
      </w:tr>
      <w:tr>
        <w:tc>
          <w:tcPr>
            <w:tcW w:type="dxa" w:w="2600"/>
            <w:shd w:fill="F4F4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 a 14 puntos</w:t>
            </w:r>
          </w:p>
        </w:tc>
        <w:tc>
          <w:tcPr>
            <w:tcW w:type="dxa" w:w="2600"/>
            <w:shd w:fill="F4F4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MEDIO — AMARILLO</w:t>
            </w:r>
          </w:p>
        </w:tc>
        <w:tc>
          <w:tcPr>
            <w:tcW w:type="dxa" w:w="4150"/>
            <w:shd w:fill="F4F4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KYC reforzado. Verificación adicional del origen de fondos o del bien aportado. Monitoreo semestral.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 a 18 puntos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ALTO — ROJO</w:t>
            </w:r>
          </w:p>
        </w:tc>
        <w:tc>
          <w:tcPr>
            <w:tcW w:type="dxa" w:w="41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KYC intensivo. Debida diligencia reforzada sobre beneficiario controlador. Reporte al Repr. de Cumplimiento. Consideración de no formalizar el acto. Aviso al SAT conforme al inciso aplicable.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Nota: a diferencia del régimen inmobiliario, en los incisos b), c) y e) el aviso al SAT es obligatorio SIEMPRE, sin importar el nivel de riesgo asignado — la clasificación EBR no exime ni condiciona esa obligación; determina únicamente la intensidad de la debida diligencia aplicada antes de formalizar el acto.</w:t>
      </w:r>
    </w:p>
    <w:p/>
    <w:p>
      <w:pPr>
        <w:pBdr>
          <w:top w:val="single" w:color="B08D57" w:sz="4" w:space="4"/>
        </w:pBdr>
        <w:spacing w:before="200"/>
      </w:pPr>
      <w:r>
        <w:rPr>
          <w:rFonts w:ascii="Calibri" w:cs="Calibri" w:eastAsia="Calibri" w:hAnsi="Calibri"/>
          <w:color w:val="808080"/>
          <w:sz w:val="16"/>
          <w:szCs w:val="16"/>
        </w:rPr>
        <w:t xml:space="preserve">CERTUS CONSULTORES  |  Certus PLD  |  Mérida, Yucatán  |  999 163 1363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2026-09-09T01:18:01.219Z</dcterms:created>
  <dcterms:modified xsi:type="dcterms:W3CDTF">2026-09-09T01:18:01.219Z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