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F3864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CERTUS PLD</w:t>
            </w:r>
            <w:r>
              <w:rPr>
                <w:rFonts w:ascii="Calibri" w:cs="Calibri" w:eastAsia="Calibri" w:hAnsi="Calibri"/>
                <w:color w:val="B08D57"/>
                <w:sz w:val="22"/>
                <w:szCs w:val="22"/>
              </w:rPr>
              <w:t xml:space="preserve">   |   </w:t>
            </w:r>
            <w:r>
              <w:rPr>
                <w:rFonts w:ascii="Calibri" w:cs="Calibri" w:eastAsia="Calibri" w:hAnsi="Calibri"/>
                <w:b/>
                <w:bCs/>
                <w:color w:val="B08D57"/>
                <w:sz w:val="22"/>
                <w:szCs w:val="22"/>
              </w:rPr>
              <w:t xml:space="preserve">D8-NOT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Política de Personas Expuestas Políticamente (PEP's) — Notarías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D9D9D9"/>
                <w:sz w:val="18"/>
                <w:szCs w:val="18"/>
              </w:rPr>
              <w:t xml:space="preserve">Notaría: [NOMBRE DE LA NOTARIA]   │   Variante: Fe Pública — Fracción XII LFPIORPI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Notaría: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[NOMBRE DE LA NOTARIA]</w:t>
            </w:r>
          </w:p>
        </w:tc>
      </w:tr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Aprobó: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[NOTARIO TITULAR]</w:t>
            </w:r>
          </w:p>
        </w:tc>
      </w:tr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Fecha de adopción: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[FECHA]</w:t>
            </w:r>
          </w:p>
        </w:tc>
      </w:tr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Elaboró: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CERTUS CONSULTORES │ Certus PLD</w:t>
            </w:r>
          </w:p>
        </w:tc>
      </w:tr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Versión: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</w:tr>
    </w:tbl>
    <w:p/>
    <w:p>
      <w:pPr>
        <w:spacing w:after="11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Nota: la definición de PEP, los cargos que califican y el procedimiento de identificación son sustancialmente idénticos al régimen inmobiliario — el criterio no depende de la fracción del artículo 17 aplicable. Lo que cambia respecto del kit inmobiliario es (i) la referencia cruzada al expediente KYC, porque en el D7-NOT la Sección de PEP's es la F, no la E; (ii) los roles que deben evaluarse, más amplios que "cliente" en un acto notarial; y (iii) quién aprueba la debida diligencia reforzada, dado que el Notario Titular responde personalmente (D2-NOT), sin órgano de administración.</w:t>
      </w:r>
    </w:p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I. Definición de PEP</w:t>
      </w:r>
    </w:p>
    <w:p>
      <w:pPr>
        <w:spacing w:after="110"/>
      </w:pPr>
      <w:r>
        <w:rPr>
          <w:rFonts w:ascii="Calibri" w:cs="Calibri" w:eastAsia="Calibri" w:hAnsi="Calibri"/>
          <w:sz w:val="20"/>
          <w:szCs w:val="20"/>
        </w:rPr>
        <w:t xml:space="preserve">Para efectos de esta Política y conforme a la LFPIORPI y su Reglamento, se considera Persona Expuesta Políticamente (PEP) a toda persona física que desempeñe o haya desempeñado funciones públicas prominentes en México o en el extranjero, durante los 12 meses anteriores a la fecha del acto.</w:t>
      </w:r>
    </w:p>
    <w:p>
      <w:pPr>
        <w:spacing w:after="7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1.1 Cargos que califican como PEP en México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Titulares del Poder Ejecutivo Federal, Estatal o Municipal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Legisladores federales y locales (Senadores, Diputados)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Magistrados y Jueces del Poder Judicial Federal y Estatal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Secretarios de Estado y equivalentes en gobiernos estatales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Directores generales de organismos descentralizados y empresas de participación estatal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Embajadores y Cónsules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Altos mandos de las Fuerzas Armadas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Titulares de órganos constitucionales autónomos</w:t>
      </w:r>
    </w:p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II. Familiares y Asociados de PEP's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Cónyuges o concubinos del PEP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Ascendientes y descendientes en primer grado (padres, hijos)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Hermanos del PEP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Socios de negocios o colaboradores cercanos del PEP</w:t>
      </w:r>
    </w:p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III. Roles a evaluar en un acto notarial</w:t>
      </w:r>
    </w:p>
    <w:p>
      <w:pPr>
        <w:spacing w:after="110"/>
      </w:pPr>
      <w:r>
        <w:rPr>
          <w:rFonts w:ascii="Calibri" w:cs="Calibri" w:eastAsia="Calibri" w:hAnsi="Calibri"/>
          <w:sz w:val="20"/>
          <w:szCs w:val="20"/>
        </w:rPr>
        <w:t xml:space="preserve">A diferencia de una compraventa inmobiliaria, donde típicamente basta con evaluar a comprador y vendedor, un acto ante fe pública puede involucrar varios roles que deben evaluarse de forma independiente: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Inciso a): enajenante y adquirente del inmueble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Inciso b): poderdante y apoderado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Inciso c): socios fundadores o adquirentes, representante legal que comparece, y beneficiario controlador (D7-NOT Sección E)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Inciso d): fideicomitente y fideicomisario(s)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Inciso e): mutuante y mutuatario</w:t>
      </w:r>
    </w:p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IV. Procedimiento de Identificación — 6 Pasos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2350"/>
        <w:gridCol w:w="2000"/>
      </w:tblGrid>
      <w:tr>
        <w:trPr>
          <w:tblHeader/>
        </w:trPr>
        <w:tc>
          <w:tcPr>
            <w:tcW w:type="dxa" w:w="6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44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type="dxa" w:w="235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</w:tr>
      <w:tr>
        <w:tc>
          <w:tcPr>
            <w:tcW w:type="dxa" w:w="6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Preguntar a cada parte compareciente (y, en su caso, al beneficiario controlador identificado): ¿Es usted o tiene familiares en cargos públicos?</w:t>
            </w:r>
          </w:p>
        </w:tc>
        <w:tc>
          <w:tcPr>
            <w:tcW w:type="dxa" w:w="23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Notario / Enc. Operativo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Primer contacto</w:t>
            </w:r>
          </w:p>
        </w:tc>
      </w:tr>
      <w:tr>
        <w:tc>
          <w:tcPr>
            <w:tcW w:type="dxa" w:w="6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4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Verificar en listas oficiales: DOF, páginas de gobierno</w:t>
            </w:r>
          </w:p>
        </w:tc>
        <w:tc>
          <w:tcPr>
            <w:tcW w:type="dxa" w:w="235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Notario / Enc. Operativo</w:t>
            </w:r>
          </w:p>
        </w:tc>
        <w:tc>
          <w:tcPr>
            <w:tcW w:type="dxa" w:w="20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Antes de formalizar</w:t>
            </w:r>
          </w:p>
        </w:tc>
      </w:tr>
      <w:tr>
        <w:tc>
          <w:tcPr>
            <w:tcW w:type="dxa" w:w="6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Consultar listas de sanciones: OFAC, ONU, Interpol</w:t>
            </w:r>
          </w:p>
        </w:tc>
        <w:tc>
          <w:tcPr>
            <w:tcW w:type="dxa" w:w="23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Notario / Enc. Operativo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Antes de formalizar</w:t>
            </w:r>
          </w:p>
        </w:tc>
      </w:tr>
      <w:tr>
        <w:tc>
          <w:tcPr>
            <w:tcW w:type="dxa" w:w="6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4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 alguna de las partes ES PEP: activar medidas de debida diligencia reforzada (Sección V)</w:t>
            </w:r>
          </w:p>
        </w:tc>
        <w:tc>
          <w:tcPr>
            <w:tcW w:type="dxa" w:w="235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Notario Titular</w:t>
            </w:r>
          </w:p>
        </w:tc>
        <w:tc>
          <w:tcPr>
            <w:tcW w:type="dxa" w:w="20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Inmediatamente</w:t>
            </w:r>
          </w:p>
        </w:tc>
      </w:tr>
      <w:tr>
        <w:tc>
          <w:tcPr>
            <w:tcW w:type="dxa" w:w="6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Documentar el resultado en el expediente KYC (D7-NOT, Sección F)</w:t>
            </w:r>
          </w:p>
        </w:tc>
        <w:tc>
          <w:tcPr>
            <w:tcW w:type="dxa" w:w="23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Notario / Enc. Operativo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Mismo día</w:t>
            </w:r>
          </w:p>
        </w:tc>
      </w:tr>
      <w:tr>
        <w:tc>
          <w:tcPr>
            <w:tcW w:type="dxa" w:w="6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4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Registrar en el Control de PEP's (Sección VI) — el Notario Titular es quien asume la responsabilidad personal del registro</w:t>
            </w:r>
          </w:p>
        </w:tc>
        <w:tc>
          <w:tcPr>
            <w:tcW w:type="dxa" w:w="235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Notario Titular</w:t>
            </w:r>
          </w:p>
        </w:tc>
        <w:tc>
          <w:tcPr>
            <w:tcW w:type="dxa" w:w="20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Mismo día</w:t>
            </w:r>
          </w:p>
        </w:tc>
      </w:tr>
    </w:tbl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V. Medidas de Debida Diligencia Reforzada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Aprobación personal del Notario Titular ANTES de formalizar el acto — no existe órgano de administración que la delegue.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Solicitud de documentación adicional: declaración fiscal de los últimos 2 años, estados de cuenta bancarios de los últimos 6 meses.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Verificación de que el valor del acto sea congruente con el nivel de ingresos declarado por la parte PEP.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Monitoreo reforzado durante la vigencia del acto (por ejemplo, en poderes irrevocables o fideicomisos de larga duración).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Registro detallado de todas las medidas aplicadas en el expediente KYC (D7-NOT).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Presentación de aviso al SAT independientemente del monto, si la naturaleza del acto lo justifica — recordando que los incisos b), c) y e) ya son SIEMPRE objeto de aviso por sí mismos.</w:t>
      </w:r>
    </w:p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VI. Registro de PEP's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2350"/>
        <w:gridCol w:w="2200"/>
        <w:gridCol w:w="1500"/>
      </w:tblGrid>
      <w:tr>
        <w:trPr>
          <w:tblHeader/>
        </w:trPr>
        <w:tc>
          <w:tcPr>
            <w:tcW w:type="dxa" w:w="7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26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235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Cargo / Vínculo</w:t>
            </w:r>
          </w:p>
        </w:tc>
        <w:tc>
          <w:tcPr>
            <w:tcW w:type="dxa" w:w="22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Acto relacionado (D7-NOT)</w:t>
            </w:r>
          </w:p>
        </w:tc>
        <w:tc>
          <w:tcPr>
            <w:tcW w:type="dxa" w:w="15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5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5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/>
    <w:p>
      <w:pPr>
        <w:pBdr>
          <w:top w:val="single" w:color="B08D57" w:sz="4" w:space="4"/>
        </w:pBdr>
        <w:spacing w:before="200"/>
      </w:pPr>
      <w:r>
        <w:rPr>
          <w:rFonts w:ascii="Calibri" w:cs="Calibri" w:eastAsia="Calibri" w:hAnsi="Calibri"/>
          <w:color w:val="808080"/>
          <w:sz w:val="16"/>
          <w:szCs w:val="16"/>
        </w:rPr>
        <w:t xml:space="preserve">CERTUS CONSULTORES  |  Certus PLD  |  Mérida, Yucatán  |  999 163 1363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2026-09-09T14:48:46.170Z</dcterms:created>
  <dcterms:modified xsi:type="dcterms:W3CDTF">2026-09-09T14:48:46.171Z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