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F3864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CERTUS PLD</w:t>
            </w:r>
            <w:r>
              <w:rPr>
                <w:rFonts w:ascii="Calibri" w:cs="Calibri" w:eastAsia="Calibri" w:hAnsi="Calibri"/>
                <w:color w:val="B08D57"/>
                <w:sz w:val="22"/>
                <w:szCs w:val="22"/>
              </w:rPr>
              <w:t xml:space="preserve">   |   </w:t>
            </w:r>
            <w:r>
              <w:rPr>
                <w:rFonts w:ascii="Calibri" w:cs="Calibri" w:eastAsia="Calibri" w:hAnsi="Calibri"/>
                <w:b/>
                <w:bCs/>
                <w:color w:val="B08D57"/>
                <w:sz w:val="22"/>
                <w:szCs w:val="22"/>
              </w:rPr>
              <w:t xml:space="preserve">D9-NOT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Reporte de Operación Inusual (ROI) — Notarías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D9D9D9"/>
                <w:sz w:val="18"/>
                <w:szCs w:val="18"/>
              </w:rPr>
              <w:t xml:space="preserve">Notaría: [Denominación de la Notaría]   │   Variante: Fe Pública — Fracción XII LFPIORPI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c>
          <w:tcPr>
            <w:tcW w:type="dxa" w:w="3200"/>
            <w:shd w:fill="EDEDE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No. de reporte interno:</w:t>
            </w:r>
          </w:p>
        </w:tc>
        <w:tc>
          <w:tcPr>
            <w:tcW w:type="dxa" w:w="61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[Número secuencial]</w:t>
            </w:r>
          </w:p>
        </w:tc>
      </w:tr>
      <w:tr>
        <w:tc>
          <w:tcPr>
            <w:tcW w:type="dxa" w:w="3200"/>
            <w:shd w:fill="EDEDE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Notaría:</w:t>
            </w:r>
          </w:p>
        </w:tc>
        <w:tc>
          <w:tcPr>
            <w:tcW w:type="dxa" w:w="61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[Denominación completa]</w:t>
            </w:r>
          </w:p>
        </w:tc>
      </w:tr>
      <w:tr>
        <w:tc>
          <w:tcPr>
            <w:tcW w:type="dxa" w:w="3200"/>
            <w:shd w:fill="EDEDE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Fecha de detección:</w:t>
            </w:r>
          </w:p>
        </w:tc>
        <w:tc>
          <w:tcPr>
            <w:tcW w:type="dxa" w:w="61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[Fecha]</w:t>
            </w:r>
          </w:p>
        </w:tc>
      </w:tr>
      <w:tr>
        <w:tc>
          <w:tcPr>
            <w:tcW w:type="dxa" w:w="3200"/>
            <w:shd w:fill="EDEDE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Expediente KYC relacionado (D7-NOT):</w:t>
            </w:r>
          </w:p>
        </w:tc>
        <w:tc>
          <w:tcPr>
            <w:tcW w:type="dxa" w:w="61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[No. de expediente]</w:t>
            </w:r>
          </w:p>
        </w:tc>
      </w:tr>
      <w:tr>
        <w:tc>
          <w:tcPr>
            <w:tcW w:type="dxa" w:w="3200"/>
            <w:shd w:fill="EDEDE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Plazo legal para aviso a la Secretaría:</w:t>
            </w:r>
          </w:p>
        </w:tc>
        <w:tc>
          <w:tcPr>
            <w:tcW w:type="dxa" w:w="61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 horas desde que se tuvo conocimiento o se generó la sospecha (Art. 18, Fracc. VI LFPIORPI)</w:t>
            </w:r>
          </w:p>
        </w:tc>
      </w:tr>
    </w:tbl>
    <w:p/>
    <w:p>
      <w:pPr>
        <w:pBdr>
          <w:bottom w:val="single" w:color="B08D57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I. Objetivo</w:t>
      </w:r>
    </w:p>
    <w:p>
      <w:pPr>
        <w:spacing w:after="110"/>
      </w:pPr>
      <w:r>
        <w:rPr>
          <w:rFonts w:ascii="Calibri" w:cs="Calibri" w:eastAsia="Calibri" w:hAnsi="Calibri"/>
          <w:sz w:val="20"/>
          <w:szCs w:val="20"/>
        </w:rPr>
        <w:t xml:space="preserve">Este documento guía la identificación y el reporte interno de operaciones inusuales detectadas por la Notaría en el otorgamiento de actos comprendidos en el artículo 17, Fracción XII, Apartado A de la LFPIORPI, previo a la presentación del Aviso correspondiente ante la Secretaría, conforme al artículo 18, fracción VI.</w:t>
      </w:r>
    </w:p>
    <w:p>
      <w:pPr>
        <w:pBdr>
          <w:bottom w:val="single" w:color="B08D57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II. Catálogo de señales de alerta por inciso</w:t>
      </w:r>
    </w:p>
    <w:p>
      <w:pPr>
        <w:spacing w:after="70" w:before="14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a) Transmisión o constitución de derechos reales sobre inmuebles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250"/>
        <w:gridCol w:w="20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Inciso</w:t>
            </w:r>
          </w:p>
        </w:tc>
        <w:tc>
          <w:tcPr>
            <w:tcW w:type="dxa" w:w="525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Señal de alerta</w:t>
            </w:r>
          </w:p>
        </w:tc>
        <w:tc>
          <w:tcPr>
            <w:tcW w:type="dxa" w:w="20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525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Precio pactado significativamente inferior al valor catastral o comercial del inmueble, sin justificación económica aparente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MEDIO</w:t>
            </w:r>
          </w:p>
        </w:tc>
      </w:tr>
      <w:tr>
        <w:tc>
          <w:tcPr>
            <w:tcW w:type="dxa" w:w="21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525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Pago total o parcial en efectivo cercano al límite del artículo 32 (8,000 UMA), o fraccionado en varios pagos para evitarlo</w:t>
            </w:r>
          </w:p>
        </w:tc>
        <w:tc>
          <w:tcPr>
            <w:tcW w:type="dxa" w:w="20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525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Adquirente que no puede explicar el origen de los recursos o cuyo perfil de ingresos declarado es incongruente con el valor del inmueble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</w:tr>
      <w:tr>
        <w:tc>
          <w:tcPr>
            <w:tcW w:type="dxa" w:w="21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525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Múltiples adquisiciones de inmuebles por la misma persona o grupo relacionado en periodo corto, sin justificación de negocio</w:t>
            </w:r>
          </w:p>
        </w:tc>
        <w:tc>
          <w:tcPr>
            <w:tcW w:type="dxa" w:w="20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MEDIO</w:t>
            </w:r>
          </w:p>
        </w:tc>
      </w:tr>
    </w:tbl>
    <w:p>
      <w:pPr>
        <w:spacing w:after="70" w:before="14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b) Otorgamiento de poderes con carácter irrevocable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250"/>
        <w:gridCol w:w="20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Inciso</w:t>
            </w:r>
          </w:p>
        </w:tc>
        <w:tc>
          <w:tcPr>
            <w:tcW w:type="dxa" w:w="525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Señal de alerta</w:t>
            </w:r>
          </w:p>
        </w:tc>
        <w:tc>
          <w:tcPr>
            <w:tcW w:type="dxa" w:w="20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525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Poder irrevocable de dominio a favor de una persona sin vínculo familiar, societario o comercial aparente con el poderdante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</w:tr>
      <w:tr>
        <w:tc>
          <w:tcPr>
            <w:tcW w:type="dxa" w:w="21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525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Poderdante de edad avanzada o en condición de vulnerabilidad aparente, sin acompañamiento de familiares</w:t>
            </w:r>
          </w:p>
        </w:tc>
        <w:tc>
          <w:tcPr>
            <w:tcW w:type="dxa" w:w="20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525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Facultades amplísimas (dominio total) otorgadas sin correspondencia con el patrimonio declarado del poderdante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MEDIO</w:t>
            </w:r>
          </w:p>
        </w:tc>
      </w:tr>
    </w:tbl>
    <w:p>
      <w:pPr>
        <w:spacing w:after="70" w:before="14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c) Constitución de sociedades / modificación patrimonial / fusión / escisión / compraventa de acciones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250"/>
        <w:gridCol w:w="20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Inciso</w:t>
            </w:r>
          </w:p>
        </w:tc>
        <w:tc>
          <w:tcPr>
            <w:tcW w:type="dxa" w:w="525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Señal de alerta</w:t>
            </w:r>
          </w:p>
        </w:tc>
        <w:tc>
          <w:tcPr>
            <w:tcW w:type="dxa" w:w="20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525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Capital social desproporcionadamente alto para el giro declarado, aportado en efectivo o sin soporte documental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</w:tr>
      <w:tr>
        <w:tc>
          <w:tcPr>
            <w:tcW w:type="dxa" w:w="21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525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Estructura societaria con accionistas o socios en cascada que dificulta identificar al beneficiario controlador final</w:t>
            </w:r>
          </w:p>
        </w:tc>
        <w:tc>
          <w:tcPr>
            <w:tcW w:type="dxa" w:w="20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525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Socios o accionistas extranjeros de jurisdicciones de alto riesgo (listas GAFI) sin actividad económica aparente en México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</w:tr>
      <w:tr>
        <w:tc>
          <w:tcPr>
            <w:tcW w:type="dxa" w:w="21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525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Aumento súbito de capital poco después de la constitución, sin correspondencia con la operación del negocio</w:t>
            </w:r>
          </w:p>
        </w:tc>
        <w:tc>
          <w:tcPr>
            <w:tcW w:type="dxa" w:w="20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525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Compraventa de acciones o partes sociales entre partes sin vínculo aparente, a un precio muy alejado del valor contable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MEDIO</w:t>
            </w:r>
          </w:p>
        </w:tc>
      </w:tr>
    </w:tbl>
    <w:p>
      <w:pPr>
        <w:spacing w:after="70" w:before="14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d) Fideicomisos traslativos de dominio o de garantía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250"/>
        <w:gridCol w:w="20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Inciso</w:t>
            </w:r>
          </w:p>
        </w:tc>
        <w:tc>
          <w:tcPr>
            <w:tcW w:type="dxa" w:w="525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Señal de alerta</w:t>
            </w:r>
          </w:p>
        </w:tc>
        <w:tc>
          <w:tcPr>
            <w:tcW w:type="dxa" w:w="20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525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Fideicomitente que aporta bienes de valor significativamente mayor al que corresponde a su perfil económico declarado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</w:tr>
      <w:tr>
        <w:tc>
          <w:tcPr>
            <w:tcW w:type="dxa" w:w="21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525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Fideicomisarios múltiples sin relación familiar o societaria clara con el fideicomitente</w:t>
            </w:r>
          </w:p>
        </w:tc>
        <w:tc>
          <w:tcPr>
            <w:tcW w:type="dxa" w:w="20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525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Modificaciones frecuentes al fideicomiso que cambian fideicomisarios en periodos cortos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MEDIO</w:t>
            </w:r>
          </w:p>
        </w:tc>
      </w:tr>
    </w:tbl>
    <w:p>
      <w:pPr>
        <w:spacing w:after="70" w:before="14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e) Contratos de mutuo o crédito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250"/>
        <w:gridCol w:w="20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Inciso</w:t>
            </w:r>
          </w:p>
        </w:tc>
        <w:tc>
          <w:tcPr>
            <w:tcW w:type="dxa" w:w="525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Señal de alerta</w:t>
            </w:r>
          </w:p>
        </w:tc>
        <w:tc>
          <w:tcPr>
            <w:tcW w:type="dxa" w:w="20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525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Mutuo sin garantía entre partes sin vínculo aparente (familiar, societario o comercial) y por montos elevados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</w:tr>
      <w:tr>
        <w:tc>
          <w:tcPr>
            <w:tcW w:type="dxa" w:w="21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525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Mutuante persona física cuyo perfil de ingresos declarado no es congruente con el monto prestado</w:t>
            </w:r>
          </w:p>
        </w:tc>
        <w:tc>
          <w:tcPr>
            <w:tcW w:type="dxa" w:w="2000"/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525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Condiciones de pago inusuales (tasa de interés nula o cero, plazos indefinidos, sin exigibilidad real)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MEDIO</w:t>
            </w:r>
          </w:p>
        </w:tc>
      </w:tr>
    </w:tbl>
    <w:p>
      <w:pPr>
        <w:pBdr>
          <w:bottom w:val="single" w:color="B08D57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III. Procedimiento de reporte interno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El Notario Titular (o el Encargado Operativo, bajo su supervisión) identifica la señal de alerta durante la integración del expediente KYC (D7-NOT) o durante la comparecencia de las partes.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Se documenta la alerta en este formato, incluyendo la justificación de por qué se considera inusual conforme al catálogo de la Sección II.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El Notario Titular evalúa si procede la abstención de formalizar el acto conforme al artículo 21 LFPIORPI, cuando el cliente se niegue a proporcionar la información requerida.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Si se decide continuar con el acto, se presenta el Aviso correspondiente ante la Secretaría dentro de las 24 horas siguientes a la detección de la sospecha, incluso si el acto no llegó a formalizarse.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Se conserva este reporte, junto con el acuse del Aviso presentado, en el expediente KYC del cliente por el plazo de 10 años.</w:t>
      </w:r>
    </w:p>
    <w:p>
      <w:pPr>
        <w:pBdr>
          <w:bottom w:val="single" w:color="B08D57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IV. Registro del reporte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c>
          <w:tcPr>
            <w:tcW w:type="dxa" w:w="3200"/>
            <w:shd w:fill="EDEDE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Inciso(s) involucrado(s):</w:t>
            </w:r>
          </w:p>
        </w:tc>
        <w:tc>
          <w:tcPr>
            <w:tcW w:type="dxa" w:w="61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a)   [ ] b)   [ ] c)   [ ] d)   [ ] e)</w:t>
            </w:r>
          </w:p>
        </w:tc>
      </w:tr>
      <w:tr>
        <w:tc>
          <w:tcPr>
            <w:tcW w:type="dxa" w:w="3200"/>
            <w:shd w:fill="EDEDE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Señal(es) de alerta identificada(s):</w:t>
            </w:r>
          </w:p>
        </w:tc>
        <w:tc>
          <w:tcPr>
            <w:tcW w:type="dxa" w:w="61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[Describir conforme al catálogo de la Sección II]</w:t>
            </w:r>
          </w:p>
        </w:tc>
      </w:tr>
      <w:tr>
        <w:tc>
          <w:tcPr>
            <w:tcW w:type="dxa" w:w="3200"/>
            <w:shd w:fill="EDEDE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Nivel de riesgo:</w:t>
            </w:r>
          </w:p>
        </w:tc>
        <w:tc>
          <w:tcPr>
            <w:tcW w:type="dxa" w:w="61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MEDIO    [ ] ALTO</w:t>
            </w:r>
          </w:p>
        </w:tc>
      </w:tr>
      <w:tr>
        <w:tc>
          <w:tcPr>
            <w:tcW w:type="dxa" w:w="3200"/>
            <w:shd w:fill="EDEDE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¿Se formalizó el acto?:</w:t>
            </w:r>
          </w:p>
        </w:tc>
        <w:tc>
          <w:tcPr>
            <w:tcW w:type="dxa" w:w="61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Sí    [ ] No — se ejerció la abstención del Art. 21</w:t>
            </w:r>
          </w:p>
        </w:tc>
      </w:tr>
      <w:tr>
        <w:tc>
          <w:tcPr>
            <w:tcW w:type="dxa" w:w="3200"/>
            <w:shd w:fill="EDEDE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Fecha de presentación del Aviso:</w:t>
            </w:r>
          </w:p>
        </w:tc>
        <w:tc>
          <w:tcPr>
            <w:tcW w:type="dxa" w:w="61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[Fecha — dentro de las 24 horas siguientes]</w:t>
            </w:r>
          </w:p>
        </w:tc>
      </w:tr>
      <w:tr>
        <w:tc>
          <w:tcPr>
            <w:tcW w:type="dxa" w:w="3200"/>
            <w:shd w:fill="EDEDE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Folio del Aviso:</w:t>
            </w:r>
          </w:p>
        </w:tc>
        <w:tc>
          <w:tcPr>
            <w:tcW w:type="dxa" w:w="61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[Folio]</w:t>
            </w:r>
          </w:p>
        </w:tc>
      </w:tr>
      <w:tr>
        <w:tc>
          <w:tcPr>
            <w:tcW w:type="dxa" w:w="3200"/>
            <w:shd w:fill="EDEDE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Elaboró:</w:t>
            </w:r>
          </w:p>
        </w:tc>
        <w:tc>
          <w:tcPr>
            <w:tcW w:type="dxa" w:w="61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[Nombre]</w:t>
            </w:r>
          </w:p>
        </w:tc>
      </w:tr>
    </w:tbl>
    <w:p/>
    <w:p>
      <w:pPr>
        <w:pBdr>
          <w:top w:val="single" w:color="B08D57" w:sz="4" w:space="4"/>
        </w:pBdr>
        <w:spacing w:before="200"/>
      </w:pPr>
      <w:r>
        <w:rPr>
          <w:rFonts w:ascii="Calibri" w:cs="Calibri" w:eastAsia="Calibri" w:hAnsi="Calibri"/>
          <w:color w:val="808080"/>
          <w:sz w:val="16"/>
          <w:szCs w:val="16"/>
        </w:rPr>
        <w:t xml:space="preserve">CERTUS CONSULTORES  |  Certus PLD  |  Mérida, Yucatán  |  999 163 1363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2026-09-09T01:32:33.565Z</dcterms:created>
  <dcterms:modified xsi:type="dcterms:W3CDTF">2026-09-09T01:32:33.574Z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