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D8 — Política de Personas Políticamente Expuestas (PEP's)</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Mar>
              <w:top w:type="dxa" w:w="70"/>
              <w:left w:type="dxa" w:w="100"/>
              <w:bottom w:type="dxa" w:w="70"/>
              <w:right w:type="dxa" w:w="100"/>
            </w:tcMar>
          </w:tcPr>
          <w:p>
            <w:r>
              <w:rPr>
                <w:b w:val="false"/>
                <w:bCs w:val="false"/>
                <w:sz w:val="18"/>
                <w:szCs w:val="18"/>
              </w:rPr>
              <w:t xml:space="preserve">Empresa:</w:t>
            </w:r>
          </w:p>
        </w:tc>
        <w:tc>
          <w:tcPr>
            <w:tcW w:type="dxa" w:w="7000"/>
            <w:tcMar>
              <w:top w:type="dxa" w:w="70"/>
              <w:left w:type="dxa" w:w="100"/>
              <w:bottom w:type="dxa" w:w="70"/>
              <w:right w:type="dxa" w:w="100"/>
            </w:tcMar>
          </w:tcPr>
          <w:p>
            <w:r>
              <w:rPr>
                <w:b w:val="false"/>
                <w:bCs w:val="false"/>
                <w:sz w:val="18"/>
                <w:szCs w:val="18"/>
              </w:rPr>
              <w:t xml:space="preserve">[EMPRESA]</w:t>
            </w:r>
          </w:p>
        </w:tc>
      </w:tr>
      <w:tr>
        <w:tc>
          <w:tcPr>
            <w:tcW w:type="dxa" w:w="2600"/>
            <w:tcMar>
              <w:top w:type="dxa" w:w="70"/>
              <w:left w:type="dxa" w:w="100"/>
              <w:bottom w:type="dxa" w:w="70"/>
              <w:right w:type="dxa" w:w="100"/>
            </w:tcMar>
          </w:tcPr>
          <w:p>
            <w:r>
              <w:rPr>
                <w:b w:val="false"/>
                <w:bCs w:val="false"/>
                <w:sz w:val="18"/>
                <w:szCs w:val="18"/>
              </w:rPr>
              <w:t xml:space="preserve">Aprobado por:</w:t>
            </w:r>
          </w:p>
        </w:tc>
        <w:tc>
          <w:tcPr>
            <w:tcW w:type="dxa" w:w="7000"/>
            <w:tcMar>
              <w:top w:type="dxa" w:w="70"/>
              <w:left w:type="dxa" w:w="100"/>
              <w:bottom w:type="dxa" w:w="70"/>
              <w:right w:type="dxa" w:w="100"/>
            </w:tcMar>
          </w:tcPr>
          <w:p>
            <w:r>
              <w:rPr>
                <w:b w:val="false"/>
                <w:bCs w:val="false"/>
                <w:sz w:val="18"/>
                <w:szCs w:val="18"/>
              </w:rPr>
              <w:t xml:space="preserve">[Órgano de administración]</w:t>
            </w:r>
          </w:p>
        </w:tc>
      </w:tr>
      <w:tr>
        <w:tc>
          <w:tcPr>
            <w:tcW w:type="dxa" w:w="2600"/>
            <w:tcMar>
              <w:top w:type="dxa" w:w="70"/>
              <w:left w:type="dxa" w:w="100"/>
              <w:bottom w:type="dxa" w:w="70"/>
              <w:right w:type="dxa" w:w="100"/>
            </w:tcMar>
          </w:tcPr>
          <w:p>
            <w:r>
              <w:rPr>
                <w:b w:val="false"/>
                <w:bCs w:val="false"/>
                <w:sz w:val="18"/>
                <w:szCs w:val="18"/>
              </w:rPr>
              <w:t xml:space="preserve">Fecha de adopción:</w:t>
            </w:r>
          </w:p>
        </w:tc>
        <w:tc>
          <w:tcPr>
            <w:tcW w:type="dxa" w:w="7000"/>
            <w:tcMar>
              <w:top w:type="dxa" w:w="70"/>
              <w:left w:type="dxa" w:w="100"/>
              <w:bottom w:type="dxa" w:w="70"/>
              <w:right w:type="dxa" w:w="100"/>
            </w:tcMar>
          </w:tcPr>
          <w:p>
            <w:r>
              <w:rPr>
                <w:b w:val="false"/>
                <w:bCs w:val="false"/>
                <w:sz w:val="18"/>
                <w:szCs w:val="18"/>
              </w:rPr>
              <w:t xml:space="preserve">[Fecha]</w:t>
            </w:r>
          </w:p>
        </w:tc>
      </w:tr>
      <w:tr>
        <w:tc>
          <w:tcPr>
            <w:tcW w:type="dxa" w:w="2600"/>
            <w:tcMar>
              <w:top w:type="dxa" w:w="70"/>
              <w:left w:type="dxa" w:w="100"/>
              <w:bottom w:type="dxa" w:w="70"/>
              <w:right w:type="dxa" w:w="100"/>
            </w:tcMar>
          </w:tcPr>
          <w:p>
            <w:r>
              <w:rPr>
                <w:b w:val="false"/>
                <w:bCs w:val="false"/>
                <w:sz w:val="18"/>
                <w:szCs w:val="18"/>
              </w:rPr>
              <w:t xml:space="preserve">Elaboró:</w:t>
            </w:r>
          </w:p>
        </w:tc>
        <w:tc>
          <w:tcPr>
            <w:tcW w:type="dxa" w:w="7000"/>
            <w:tcMar>
              <w:top w:type="dxa" w:w="70"/>
              <w:left w:type="dxa" w:w="100"/>
              <w:bottom w:type="dxa" w:w="70"/>
              <w:right w:type="dxa" w:w="100"/>
            </w:tcMar>
          </w:tcPr>
          <w:p>
            <w:r>
              <w:rPr>
                <w:b w:val="false"/>
                <w:bCs w:val="false"/>
                <w:sz w:val="18"/>
                <w:szCs w:val="18"/>
              </w:rPr>
              <w:t xml:space="preserve">Certus Consultores │ Certus PLD</w:t>
            </w:r>
          </w:p>
        </w:tc>
      </w:tr>
      <w:tr>
        <w:tc>
          <w:tcPr>
            <w:tcW w:type="dxa" w:w="2600"/>
            <w:tcMar>
              <w:top w:type="dxa" w:w="70"/>
              <w:left w:type="dxa" w:w="100"/>
              <w:bottom w:type="dxa" w:w="70"/>
              <w:right w:type="dxa" w:w="100"/>
            </w:tcMar>
          </w:tcPr>
          <w:p>
            <w:r>
              <w:rPr>
                <w:b w:val="false"/>
                <w:bCs w:val="false"/>
                <w:sz w:val="18"/>
                <w:szCs w:val="18"/>
              </w:rPr>
              <w:t xml:space="preserve">Versión:</w:t>
            </w:r>
          </w:p>
        </w:tc>
        <w:tc>
          <w:tcPr>
            <w:tcW w:type="dxa" w:w="7000"/>
            <w:tcMar>
              <w:top w:type="dxa" w:w="70"/>
              <w:left w:type="dxa" w:w="100"/>
              <w:bottom w:type="dxa" w:w="70"/>
              <w:right w:type="dxa" w:w="100"/>
            </w:tcMar>
          </w:tcPr>
          <w:p>
            <w:r>
              <w:rPr>
                <w:b w:val="false"/>
                <w:bCs w:val="false"/>
                <w:sz w:val="18"/>
                <w:szCs w:val="18"/>
              </w:rPr>
              <w:t xml:space="preserve">2.0 — Actualizada conforme al Acuerdo 115/2026 (DOF 07/08/2026)</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el Capítulo III Quáter ("De la Lista de Personas Políticamente Expuestas", Art. 23 Quáter a 23 Quáter 2) y las secciones aplicables del Capítulo III Ter (Art. 23 Ter 3 a 23 Ter 5) de las Reglas de Carácter General reformadas por el Acuerdo 115/2026 (DOF 07/08/2026). Exigible a partir del 1 de marzo de 2027; el acceso a Consulta PEP 2.0 estará habilitado aproximadamente 9 meses después de la entrada en vigor del Acuerdo.</w:t>
      </w:r>
    </w:p>
    <w:p>
      <w:pPr>
        <w:pStyle w:val="Heading2"/>
        <w:spacing w:after="120" w:before="320"/>
      </w:pPr>
      <w:r>
        <w:t xml:space="preserve">I. Definición de PEP</w:t>
      </w:r>
    </w:p>
    <w:p>
      <w:pPr>
        <w:spacing w:after="120"/>
      </w:pPr>
      <w:r>
        <w:rPr>
          <w:sz w:val="20"/>
          <w:szCs w:val="20"/>
        </w:rPr>
        <w:t xml:space="preserve">Para efectos de esta Política y conforme al Art. 23 Quáter de las RCG, se considera Persona Políticamente Expuesta (PEP) a toda persona física que desempeña o ha desempeñado funciones públicas prominentes en territorio nacional o en el extranjero, entre otros: jefes de Estado o de gobierno, líderes políticos, funcionarios gubernamentales, judiciales o militares de alta jerarquía, altos ejecutivos de empresas estatales, y funcionarios o miembros importantes de partidos políticos u organizaciones internacionales.</w:t>
      </w:r>
    </w:p>
    <w:p>
      <w:pPr>
        <w:spacing w:after="120"/>
      </w:pPr>
      <w:r>
        <w:rPr>
          <w:sz w:val="20"/>
          <w:szCs w:val="20"/>
        </w:rPr>
        <w:t xml:space="preserve">La calidad de PEP se conserva durante el año siguiente a aquel en que la persona haya dejado el cargo. Si dentro del año inmediato anterior a la operación la persona dejó de reunir las características de PEP, deberá catalogarse como tal durante el año siguiente a la realización del acto u operación.</w:t>
      </w:r>
    </w:p>
    <w:p>
      <w:pPr>
        <w:spacing w:after="80" w:before="100"/>
      </w:pPr>
      <w:r>
        <w:rPr>
          <w:b/>
          <w:bCs/>
          <w:color w:val="B08D57"/>
          <w:sz w:val="20"/>
          <w:szCs w:val="20"/>
        </w:rPr>
        <w:t xml:space="preserve">1.1 Cargos que típicamente califican como PEP en México</w:t>
      </w:r>
    </w:p>
    <w:p>
      <w:pPr>
        <w:pStyle w:val="ListParagraph"/>
        <w:numPr>
          <w:ilvl w:val="0"/>
          <w:numId w:val="1"/>
        </w:numPr>
        <w:spacing w:after="60"/>
      </w:pPr>
      <w:r>
        <w:rPr>
          <w:sz w:val="20"/>
          <w:szCs w:val="20"/>
        </w:rPr>
        <w:t xml:space="preserve">Titulares del Poder Ejecutivo Federal, Estatal o Municipal</w:t>
      </w:r>
    </w:p>
    <w:p>
      <w:pPr>
        <w:pStyle w:val="ListParagraph"/>
        <w:numPr>
          <w:ilvl w:val="0"/>
          <w:numId w:val="1"/>
        </w:numPr>
        <w:spacing w:after="60"/>
      </w:pPr>
      <w:r>
        <w:rPr>
          <w:sz w:val="20"/>
          <w:szCs w:val="20"/>
        </w:rPr>
        <w:t xml:space="preserve">Legisladores federales y locales (Senadores, Diputados)</w:t>
      </w:r>
    </w:p>
    <w:p>
      <w:pPr>
        <w:pStyle w:val="ListParagraph"/>
        <w:numPr>
          <w:ilvl w:val="0"/>
          <w:numId w:val="1"/>
        </w:numPr>
        <w:spacing w:after="60"/>
      </w:pPr>
      <w:r>
        <w:rPr>
          <w:sz w:val="20"/>
          <w:szCs w:val="20"/>
        </w:rPr>
        <w:t xml:space="preserve">Magistrados y Jueces del Poder Judicial Federal y Estatal</w:t>
      </w:r>
    </w:p>
    <w:p>
      <w:pPr>
        <w:pStyle w:val="ListParagraph"/>
        <w:numPr>
          <w:ilvl w:val="0"/>
          <w:numId w:val="1"/>
        </w:numPr>
        <w:spacing w:after="60"/>
      </w:pPr>
      <w:r>
        <w:rPr>
          <w:sz w:val="20"/>
          <w:szCs w:val="20"/>
        </w:rPr>
        <w:t xml:space="preserve">Secretarios de Estado y equivalentes en gobiernos estatales</w:t>
      </w:r>
    </w:p>
    <w:p>
      <w:pPr>
        <w:pStyle w:val="ListParagraph"/>
        <w:numPr>
          <w:ilvl w:val="0"/>
          <w:numId w:val="1"/>
        </w:numPr>
        <w:spacing w:after="60"/>
      </w:pPr>
      <w:r>
        <w:rPr>
          <w:sz w:val="20"/>
          <w:szCs w:val="20"/>
        </w:rPr>
        <w:t xml:space="preserve">Directores generales de organismos descentralizados y empresas de participación estatal</w:t>
      </w:r>
    </w:p>
    <w:p>
      <w:pPr>
        <w:pStyle w:val="ListParagraph"/>
        <w:numPr>
          <w:ilvl w:val="0"/>
          <w:numId w:val="1"/>
        </w:numPr>
        <w:spacing w:after="60"/>
      </w:pPr>
      <w:r>
        <w:rPr>
          <w:sz w:val="20"/>
          <w:szCs w:val="20"/>
        </w:rPr>
        <w:t xml:space="preserve">Embajadores y Cónsules</w:t>
      </w:r>
    </w:p>
    <w:p>
      <w:pPr>
        <w:pStyle w:val="ListParagraph"/>
        <w:numPr>
          <w:ilvl w:val="0"/>
          <w:numId w:val="1"/>
        </w:numPr>
        <w:spacing w:after="60"/>
      </w:pPr>
      <w:r>
        <w:rPr>
          <w:sz w:val="20"/>
          <w:szCs w:val="20"/>
        </w:rPr>
        <w:t xml:space="preserve">Altos mandos de las Fuerzas Armadas</w:t>
      </w:r>
    </w:p>
    <w:p>
      <w:pPr>
        <w:pStyle w:val="ListParagraph"/>
        <w:numPr>
          <w:ilvl w:val="0"/>
          <w:numId w:val="1"/>
        </w:numPr>
        <w:spacing w:after="60"/>
      </w:pPr>
      <w:r>
        <w:rPr>
          <w:sz w:val="20"/>
          <w:szCs w:val="20"/>
        </w:rPr>
        <w:t xml:space="preserve">Titulares de órganos constitucionales autónomos</w:t>
      </w:r>
    </w:p>
    <w:p>
      <w:pPr>
        <w:pStyle w:val="ListParagraph"/>
        <w:numPr>
          <w:ilvl w:val="0"/>
          <w:numId w:val="1"/>
        </w:numPr>
        <w:spacing w:after="60"/>
      </w:pPr>
      <w:r>
        <w:rPr>
          <w:sz w:val="20"/>
          <w:szCs w:val="20"/>
        </w:rPr>
        <w:t xml:space="preserve">Funcionarios o miembros importantes de partidos políticos y de organizaciones internacionales establecidas mediante acuerdos políticos oficiales entre Estados</w:t>
      </w:r>
    </w:p>
    <w:p>
      <w:pPr>
        <w:pStyle w:val="Heading2"/>
        <w:spacing w:after="120" w:before="320"/>
      </w:pPr>
      <w:r>
        <w:t xml:space="preserve">II. Personas asimiladas a PEP</w:t>
      </w:r>
    </w:p>
    <w:p>
      <w:pPr>
        <w:spacing w:after="120"/>
      </w:pPr>
      <w:r>
        <w:rPr>
          <w:sz w:val="20"/>
          <w:szCs w:val="20"/>
        </w:rPr>
        <w:t xml:space="preserve">Conforme al Art. 23 Quáter, tercer párrafo de las RCG, se asimilan a PEP:</w:t>
      </w:r>
    </w:p>
    <w:p>
      <w:pPr>
        <w:pStyle w:val="ListParagraph"/>
        <w:numPr>
          <w:ilvl w:val="0"/>
          <w:numId w:val="1"/>
        </w:numPr>
        <w:spacing w:after="60"/>
      </w:pPr>
      <w:r>
        <w:rPr>
          <w:sz w:val="20"/>
          <w:szCs w:val="20"/>
        </w:rPr>
        <w:t xml:space="preserve">El cónyuge, la concubina o el concubinario del PEP</w:t>
      </w:r>
    </w:p>
    <w:p>
      <w:pPr>
        <w:pStyle w:val="ListParagraph"/>
        <w:numPr>
          <w:ilvl w:val="0"/>
          <w:numId w:val="1"/>
        </w:numPr>
        <w:spacing w:after="60"/>
      </w:pPr>
      <w:r>
        <w:rPr>
          <w:sz w:val="20"/>
          <w:szCs w:val="20"/>
        </w:rPr>
        <w:t xml:space="preserve">Las personas con quienes el PEP mantenga parentesco por consanguinidad o afinidad hasta el segundo grado (padres, hijos, abuelos, nietos, hermanos, y sus equivalentes por afinidad)</w:t>
      </w:r>
    </w:p>
    <w:p>
      <w:pPr>
        <w:pStyle w:val="ListParagraph"/>
        <w:numPr>
          <w:ilvl w:val="0"/>
          <w:numId w:val="1"/>
        </w:numPr>
        <w:spacing w:after="60"/>
      </w:pPr>
      <w:r>
        <w:rPr>
          <w:sz w:val="20"/>
          <w:szCs w:val="20"/>
        </w:rPr>
        <w:t xml:space="preserve">Los asociados o socios de personas morales con las que el PEP mantenga vínculos patrimoniales</w:t>
      </w:r>
    </w:p>
    <w:p>
      <w:pPr>
        <w:pStyle w:val="Heading2"/>
        <w:spacing w:after="120" w:before="320"/>
      </w:pPr>
      <w:r>
        <w:t xml:space="preserve">III. Procedimiento de identificación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shd w:fill="1F3864" w:val="clear"/>
            <w:tcMar>
              <w:top w:type="dxa" w:w="70"/>
              <w:left w:type="dxa" w:w="100"/>
              <w:bottom w:type="dxa" w:w="70"/>
              <w:right w:type="dxa" w:w="100"/>
            </w:tcMar>
          </w:tcPr>
          <w:p>
            <w:r>
              <w:rPr>
                <w:b/>
                <w:bCs/>
                <w:color w:val="FFFFFF"/>
                <w:sz w:val="18"/>
                <w:szCs w:val="18"/>
              </w:rPr>
              <w:t xml:space="preserve">Paso</w:t>
            </w:r>
          </w:p>
        </w:tc>
        <w:tc>
          <w:tcPr>
            <w:tcW w:type="dxa" w:w="3200"/>
            <w:shd w:fill="1F3864" w:val="clear"/>
            <w:tcMar>
              <w:top w:type="dxa" w:w="70"/>
              <w:left w:type="dxa" w:w="100"/>
              <w:bottom w:type="dxa" w:w="70"/>
              <w:right w:type="dxa" w:w="100"/>
            </w:tcMar>
          </w:tcPr>
          <w:p>
            <w:r>
              <w:rPr>
                <w:b/>
                <w:bCs/>
                <w:color w:val="FFFFFF"/>
                <w:sz w:val="18"/>
                <w:szCs w:val="18"/>
              </w:rPr>
              <w:t xml:space="preserve">Acción</w:t>
            </w:r>
          </w:p>
        </w:tc>
        <w:tc>
          <w:tcPr>
            <w:tcW w:type="dxa" w:w="2400"/>
            <w:shd w:fill="1F3864" w:val="clear"/>
            <w:tcMar>
              <w:top w:type="dxa" w:w="70"/>
              <w:left w:type="dxa" w:w="100"/>
              <w:bottom w:type="dxa" w:w="70"/>
              <w:right w:type="dxa" w:w="100"/>
            </w:tcMar>
          </w:tcPr>
          <w:p>
            <w:r>
              <w:rPr>
                <w:b/>
                <w:bCs/>
                <w:color w:val="FFFFFF"/>
                <w:sz w:val="18"/>
                <w:szCs w:val="18"/>
              </w:rPr>
              <w:t xml:space="preserve">Responsable</w:t>
            </w:r>
          </w:p>
        </w:tc>
        <w:tc>
          <w:tcPr>
            <w:tcW w:type="dxa" w:w="2400"/>
            <w:shd w:fill="1F3864" w:val="clear"/>
            <w:tcMar>
              <w:top w:type="dxa" w:w="70"/>
              <w:left w:type="dxa" w:w="100"/>
              <w:bottom w:type="dxa" w:w="70"/>
              <w:right w:type="dxa" w:w="100"/>
            </w:tcMar>
          </w:tcPr>
          <w:p>
            <w:r>
              <w:rPr>
                <w:b/>
                <w:bCs/>
                <w:color w:val="FFFFFF"/>
                <w:sz w:val="18"/>
                <w:szCs w:val="18"/>
              </w:rPr>
              <w:t xml:space="preserve">Plazo</w:t>
            </w:r>
          </w:p>
        </w:tc>
      </w:tr>
      <w:tr>
        <w:tc>
          <w:tcPr>
            <w:tcW w:type="dxa" w:w="600"/>
            <w:tcMar>
              <w:top w:type="dxa" w:w="70"/>
              <w:left w:type="dxa" w:w="100"/>
              <w:bottom w:type="dxa" w:w="70"/>
              <w:right w:type="dxa" w:w="100"/>
            </w:tcMar>
          </w:tcPr>
          <w:p>
            <w:r>
              <w:rPr>
                <w:b w:val="false"/>
                <w:bCs w:val="false"/>
                <w:sz w:val="18"/>
                <w:szCs w:val="18"/>
              </w:rPr>
              <w:t xml:space="preserve">1</w:t>
            </w:r>
          </w:p>
        </w:tc>
        <w:tc>
          <w:tcPr>
            <w:tcW w:type="dxa" w:w="3200"/>
            <w:tcMar>
              <w:top w:type="dxa" w:w="70"/>
              <w:left w:type="dxa" w:w="100"/>
              <w:bottom w:type="dxa" w:w="70"/>
              <w:right w:type="dxa" w:w="100"/>
            </w:tcMar>
          </w:tcPr>
          <w:p>
            <w:r>
              <w:rPr>
                <w:b w:val="false"/>
                <w:bCs w:val="false"/>
                <w:sz w:val="18"/>
                <w:szCs w:val="18"/>
              </w:rPr>
              <w:t xml:space="preserve">Preguntar al cliente: ¿es usted, o tiene vínculo con alguien en un cargo público relevante?</w:t>
            </w:r>
          </w:p>
        </w:tc>
        <w:tc>
          <w:tcPr>
            <w:tcW w:type="dxa" w:w="2400"/>
            <w:tcMar>
              <w:top w:type="dxa" w:w="70"/>
              <w:left w:type="dxa" w:w="100"/>
              <w:bottom w:type="dxa" w:w="70"/>
              <w:right w:type="dxa" w:w="100"/>
            </w:tcMar>
          </w:tcPr>
          <w:p>
            <w:r>
              <w:rPr>
                <w:b w:val="false"/>
                <w:bCs w:val="false"/>
                <w:sz w:val="18"/>
                <w:szCs w:val="18"/>
              </w:rPr>
              <w:t xml:space="preserve">Asesor de ventas</w:t>
            </w:r>
          </w:p>
        </w:tc>
        <w:tc>
          <w:tcPr>
            <w:tcW w:type="dxa" w:w="2400"/>
            <w:tcMar>
              <w:top w:type="dxa" w:w="70"/>
              <w:left w:type="dxa" w:w="100"/>
              <w:bottom w:type="dxa" w:w="70"/>
              <w:right w:type="dxa" w:w="100"/>
            </w:tcMar>
          </w:tcPr>
          <w:p>
            <w:r>
              <w:rPr>
                <w:b w:val="false"/>
                <w:bCs w:val="false"/>
                <w:sz w:val="18"/>
                <w:szCs w:val="18"/>
              </w:rPr>
              <w:t xml:space="preserve">Primer contacto</w:t>
            </w:r>
          </w:p>
        </w:tc>
      </w:tr>
      <w:tr>
        <w:tc>
          <w:tcPr>
            <w:tcW w:type="dxa" w:w="600"/>
            <w:tcMar>
              <w:top w:type="dxa" w:w="70"/>
              <w:left w:type="dxa" w:w="100"/>
              <w:bottom w:type="dxa" w:w="70"/>
              <w:right w:type="dxa" w:w="100"/>
            </w:tcMar>
          </w:tcPr>
          <w:p>
            <w:r>
              <w:rPr>
                <w:b w:val="false"/>
                <w:bCs w:val="false"/>
                <w:sz w:val="18"/>
                <w:szCs w:val="18"/>
              </w:rPr>
              <w:t xml:space="preserve">2</w:t>
            </w:r>
          </w:p>
        </w:tc>
        <w:tc>
          <w:tcPr>
            <w:tcW w:type="dxa" w:w="3200"/>
            <w:tcMar>
              <w:top w:type="dxa" w:w="70"/>
              <w:left w:type="dxa" w:w="100"/>
              <w:bottom w:type="dxa" w:w="70"/>
              <w:right w:type="dxa" w:w="100"/>
            </w:tcMar>
          </w:tcPr>
          <w:p>
            <w:r>
              <w:rPr>
                <w:b w:val="false"/>
                <w:bCs w:val="false"/>
                <w:sz w:val="18"/>
                <w:szCs w:val="18"/>
              </w:rPr>
              <w:t xml:space="preserve">Consultar la aplicación Consulta PEP 2.0 de la UIF para PEP de nacionalidad mexicana</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firmar</w:t>
            </w:r>
          </w:p>
        </w:tc>
      </w:tr>
      <w:tr>
        <w:tc>
          <w:tcPr>
            <w:tcW w:type="dxa" w:w="600"/>
            <w:tcMar>
              <w:top w:type="dxa" w:w="70"/>
              <w:left w:type="dxa" w:w="100"/>
              <w:bottom w:type="dxa" w:w="70"/>
              <w:right w:type="dxa" w:w="100"/>
            </w:tcMar>
          </w:tcPr>
          <w:p>
            <w:r>
              <w:rPr>
                <w:b w:val="false"/>
                <w:bCs w:val="false"/>
                <w:sz w:val="18"/>
                <w:szCs w:val="18"/>
              </w:rPr>
              <w:t xml:space="preserve">3</w:t>
            </w:r>
          </w:p>
        </w:tc>
        <w:tc>
          <w:tcPr>
            <w:tcW w:type="dxa" w:w="3200"/>
            <w:tcMar>
              <w:top w:type="dxa" w:w="70"/>
              <w:left w:type="dxa" w:w="100"/>
              <w:bottom w:type="dxa" w:w="70"/>
              <w:right w:type="dxa" w:w="100"/>
            </w:tcMar>
          </w:tcPr>
          <w:p>
            <w:r>
              <w:rPr>
                <w:b w:val="false"/>
                <w:bCs w:val="false"/>
                <w:sz w:val="18"/>
                <w:szCs w:val="18"/>
              </w:rPr>
              <w:t xml:space="preserve">Para PEP extranjeros, consultar fuentes públicas y listas de organismos internacionales reconocidos</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firmar</w:t>
            </w:r>
          </w:p>
        </w:tc>
      </w:tr>
      <w:tr>
        <w:tc>
          <w:tcPr>
            <w:tcW w:type="dxa" w:w="600"/>
            <w:tcMar>
              <w:top w:type="dxa" w:w="70"/>
              <w:left w:type="dxa" w:w="100"/>
              <w:bottom w:type="dxa" w:w="70"/>
              <w:right w:type="dxa" w:w="100"/>
            </w:tcMar>
          </w:tcPr>
          <w:p>
            <w:r>
              <w:rPr>
                <w:b w:val="false"/>
                <w:bCs w:val="false"/>
                <w:sz w:val="18"/>
                <w:szCs w:val="18"/>
              </w:rPr>
              <w:t xml:space="preserve">4</w:t>
            </w:r>
          </w:p>
        </w:tc>
        <w:tc>
          <w:tcPr>
            <w:tcW w:type="dxa" w:w="3200"/>
            <w:tcMar>
              <w:top w:type="dxa" w:w="70"/>
              <w:left w:type="dxa" w:w="100"/>
              <w:bottom w:type="dxa" w:w="70"/>
              <w:right w:type="dxa" w:w="100"/>
            </w:tcMar>
          </w:tcPr>
          <w:p>
            <w:r>
              <w:rPr>
                <w:b w:val="false"/>
                <w:bCs w:val="false"/>
                <w:sz w:val="18"/>
                <w:szCs w:val="18"/>
              </w:rPr>
              <w:t xml:space="preserve">Consultar listas de sanciones y de autoridades nacionales/internacionales (D5, Cap. 15)</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firmar</w:t>
            </w:r>
          </w:p>
        </w:tc>
      </w:tr>
      <w:tr>
        <w:tc>
          <w:tcPr>
            <w:tcW w:type="dxa" w:w="600"/>
            <w:tcMar>
              <w:top w:type="dxa" w:w="70"/>
              <w:left w:type="dxa" w:w="100"/>
              <w:bottom w:type="dxa" w:w="70"/>
              <w:right w:type="dxa" w:w="100"/>
            </w:tcMar>
          </w:tcPr>
          <w:p>
            <w:r>
              <w:rPr>
                <w:b w:val="false"/>
                <w:bCs w:val="false"/>
                <w:sz w:val="18"/>
                <w:szCs w:val="18"/>
              </w:rPr>
              <w:t xml:space="preserve">5</w:t>
            </w:r>
          </w:p>
        </w:tc>
        <w:tc>
          <w:tcPr>
            <w:tcW w:type="dxa" w:w="3200"/>
            <w:tcMar>
              <w:top w:type="dxa" w:w="70"/>
              <w:left w:type="dxa" w:w="100"/>
              <w:bottom w:type="dxa" w:w="70"/>
              <w:right w:type="dxa" w:w="100"/>
            </w:tcMar>
          </w:tcPr>
          <w:p>
            <w:r>
              <w:rPr>
                <w:b w:val="false"/>
                <w:bCs w:val="false"/>
                <w:sz w:val="18"/>
                <w:szCs w:val="18"/>
              </w:rPr>
              <w:t xml:space="preserve">Si el cliente ES PEP: activar medidas de debida diligencia reforzada (Sección IV)</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Inmediatamente</w:t>
            </w:r>
          </w:p>
        </w:tc>
      </w:tr>
      <w:tr>
        <w:tc>
          <w:tcPr>
            <w:tcW w:type="dxa" w:w="600"/>
            <w:tcMar>
              <w:top w:type="dxa" w:w="70"/>
              <w:left w:type="dxa" w:w="100"/>
              <w:bottom w:type="dxa" w:w="70"/>
              <w:right w:type="dxa" w:w="100"/>
            </w:tcMar>
          </w:tcPr>
          <w:p>
            <w:r>
              <w:rPr>
                <w:b w:val="false"/>
                <w:bCs w:val="false"/>
                <w:sz w:val="18"/>
                <w:szCs w:val="18"/>
              </w:rPr>
              <w:t xml:space="preserve">6</w:t>
            </w:r>
          </w:p>
        </w:tc>
        <w:tc>
          <w:tcPr>
            <w:tcW w:type="dxa" w:w="3200"/>
            <w:tcMar>
              <w:top w:type="dxa" w:w="70"/>
              <w:left w:type="dxa" w:w="100"/>
              <w:bottom w:type="dxa" w:w="70"/>
              <w:right w:type="dxa" w:w="100"/>
            </w:tcMar>
          </w:tcPr>
          <w:p>
            <w:r>
              <w:rPr>
                <w:b w:val="false"/>
                <w:bCs w:val="false"/>
                <w:sz w:val="18"/>
                <w:szCs w:val="18"/>
              </w:rPr>
              <w:t xml:space="preserve">Documentar el resultado en el expediente KYC (D7, Sección G)</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Mismo día</w:t>
            </w:r>
          </w:p>
        </w:tc>
      </w:tr>
      <w:tr>
        <w:tc>
          <w:tcPr>
            <w:tcW w:type="dxa" w:w="600"/>
            <w:tcMar>
              <w:top w:type="dxa" w:w="70"/>
              <w:left w:type="dxa" w:w="100"/>
              <w:bottom w:type="dxa" w:w="70"/>
              <w:right w:type="dxa" w:w="100"/>
            </w:tcMar>
          </w:tcPr>
          <w:p>
            <w:r>
              <w:rPr>
                <w:b w:val="false"/>
                <w:bCs w:val="false"/>
                <w:sz w:val="18"/>
                <w:szCs w:val="18"/>
              </w:rPr>
              <w:t xml:space="preserve">7</w:t>
            </w:r>
          </w:p>
        </w:tc>
        <w:tc>
          <w:tcPr>
            <w:tcW w:type="dxa" w:w="3200"/>
            <w:tcMar>
              <w:top w:type="dxa" w:w="70"/>
              <w:left w:type="dxa" w:w="100"/>
              <w:bottom w:type="dxa" w:w="70"/>
              <w:right w:type="dxa" w:w="100"/>
            </w:tcMar>
          </w:tcPr>
          <w:p>
            <w:r>
              <w:rPr>
                <w:b w:val="false"/>
                <w:bCs w:val="false"/>
                <w:sz w:val="18"/>
                <w:szCs w:val="18"/>
              </w:rPr>
              <w:t xml:space="preserve">Si además es Riesgo alto: tramitar la aprobación de directivo (Sección V) antes de operar</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Antes de operar</w:t>
            </w:r>
          </w:p>
        </w:tc>
      </w:tr>
      <w:tr>
        <w:tc>
          <w:tcPr>
            <w:tcW w:type="dxa" w:w="600"/>
            <w:tcMar>
              <w:top w:type="dxa" w:w="70"/>
              <w:left w:type="dxa" w:w="100"/>
              <w:bottom w:type="dxa" w:w="70"/>
              <w:right w:type="dxa" w:w="100"/>
            </w:tcMar>
          </w:tcPr>
          <w:p>
            <w:r>
              <w:rPr>
                <w:b w:val="false"/>
                <w:bCs w:val="false"/>
                <w:sz w:val="18"/>
                <w:szCs w:val="18"/>
              </w:rPr>
              <w:t xml:space="preserve">8</w:t>
            </w:r>
          </w:p>
        </w:tc>
        <w:tc>
          <w:tcPr>
            <w:tcW w:type="dxa" w:w="3200"/>
            <w:tcMar>
              <w:top w:type="dxa" w:w="70"/>
              <w:left w:type="dxa" w:w="100"/>
              <w:bottom w:type="dxa" w:w="70"/>
              <w:right w:type="dxa" w:w="100"/>
            </w:tcMar>
          </w:tcPr>
          <w:p>
            <w:r>
              <w:rPr>
                <w:b w:val="false"/>
                <w:bCs w:val="false"/>
                <w:sz w:val="18"/>
                <w:szCs w:val="18"/>
              </w:rPr>
              <w:t xml:space="preserve">Registrar en el Control de PEP's y reportar al órgano de administración</w:t>
            </w:r>
          </w:p>
        </w:tc>
        <w:tc>
          <w:tcPr>
            <w:tcW w:type="dxa" w:w="2400"/>
            <w:tcMar>
              <w:top w:type="dxa" w:w="70"/>
              <w:left w:type="dxa" w:w="100"/>
              <w:bottom w:type="dxa" w:w="70"/>
              <w:right w:type="dxa" w:w="100"/>
            </w:tcMar>
          </w:tcPr>
          <w:p>
            <w:r>
              <w:rPr>
                <w:b w:val="false"/>
                <w:bCs w:val="false"/>
                <w:sz w:val="18"/>
                <w:szCs w:val="18"/>
              </w:rPr>
              <w:t xml:space="preserve">Representante de Cumplimiento</w:t>
            </w:r>
          </w:p>
        </w:tc>
        <w:tc>
          <w:tcPr>
            <w:tcW w:type="dxa" w:w="2400"/>
            <w:tcMar>
              <w:top w:type="dxa" w:w="70"/>
              <w:left w:type="dxa" w:w="100"/>
              <w:bottom w:type="dxa" w:w="70"/>
              <w:right w:type="dxa" w:w="100"/>
            </w:tcMar>
          </w:tcPr>
          <w:p>
            <w:r>
              <w:rPr>
                <w:b w:val="false"/>
                <w:bCs w:val="false"/>
                <w:sz w:val="18"/>
                <w:szCs w:val="18"/>
              </w:rPr>
              <w:t xml:space="preserve">Mismo día</w:t>
            </w:r>
          </w:p>
        </w:tc>
      </w:tr>
    </w:tbl>
    <w:p>
      <w:pPr>
        <w:spacing w:after="160" w:before="60"/>
      </w:pPr>
      <w:r>
        <w:rPr>
          <w:i/>
          <w:iCs/>
          <w:color w:val="666666"/>
          <w:sz w:val="19"/>
          <w:szCs w:val="19"/>
        </w:rPr>
        <w:t xml:space="preserve">La UIF habilita el acceso a Consulta PEP 2.0 aproximadamente 9 meses después de la entrada en vigor del Acuerdo 115/2026 (Art. 23 Quáter 1 RCG). Hasta entonces, la verificación de PEP nacionales se realiza con las fuentes públicas oficiales vigentes (DOF, páginas de gobierno).</w:t>
      </w:r>
    </w:p>
    <w:p>
      <w:pPr>
        <w:pStyle w:val="Heading2"/>
        <w:spacing w:after="120" w:before="320"/>
      </w:pPr>
      <w:r>
        <w:t xml:space="preserve">IV. Medidas de debida diligencia reforzada</w:t>
      </w:r>
    </w:p>
    <w:p>
      <w:pPr>
        <w:spacing w:after="120"/>
      </w:pPr>
      <w:r>
        <w:rPr>
          <w:sz w:val="20"/>
          <w:szCs w:val="20"/>
        </w:rPr>
        <w:t xml:space="preserve">Cuando el cliente sea clasificado como PEP, [EMPRESA] aplicará las medidas previstas en el Art. 23 Ter 3 y 23 Ter 4 de las RCG:</w:t>
      </w:r>
    </w:p>
    <w:p>
      <w:pPr>
        <w:spacing w:after="80" w:before="100"/>
      </w:pPr>
      <w:r>
        <w:rPr>
          <w:b/>
          <w:bCs/>
          <w:color w:val="B08D57"/>
          <w:sz w:val="20"/>
          <w:szCs w:val="20"/>
        </w:rPr>
        <w:t xml:space="preserve">Para personas físicas:</w:t>
      </w:r>
    </w:p>
    <w:p>
      <w:pPr>
        <w:pStyle w:val="ListParagraph"/>
        <w:numPr>
          <w:ilvl w:val="0"/>
          <w:numId w:val="1"/>
        </w:numPr>
        <w:spacing w:after="60"/>
      </w:pPr>
      <w:r>
        <w:rPr>
          <w:sz w:val="20"/>
          <w:szCs w:val="20"/>
        </w:rPr>
        <w:t xml:space="preserve">Adoptar medidas reforzadas para conocer el origen y destino de los recursos utilizados en la operación</w:t>
      </w:r>
    </w:p>
    <w:p>
      <w:pPr>
        <w:pStyle w:val="ListParagraph"/>
        <w:numPr>
          <w:ilvl w:val="0"/>
          <w:numId w:val="1"/>
        </w:numPr>
        <w:spacing w:after="60"/>
      </w:pPr>
      <w:r>
        <w:rPr>
          <w:sz w:val="20"/>
          <w:szCs w:val="20"/>
        </w:rPr>
        <w:t xml:space="preserve">Obtener, cuando así lo prevea el Manual de Políticas Internas, los datos del cónyuge y dependientes económicos del cliente, así como de sociedades y asociaciones con las que mantenga vínculos patrimoniales</w:t>
      </w:r>
    </w:p>
    <w:p>
      <w:pPr>
        <w:pStyle w:val="ListParagraph"/>
        <w:numPr>
          <w:ilvl w:val="0"/>
          <w:numId w:val="1"/>
        </w:numPr>
        <w:spacing w:after="60"/>
      </w:pPr>
      <w:r>
        <w:rPr>
          <w:sz w:val="20"/>
          <w:szCs w:val="20"/>
        </w:rPr>
        <w:t xml:space="preserve">Aplicar el Cuestionario de Identificación Reforzada (D7) sobre el origen y destino de los recursos</w:t>
      </w:r>
    </w:p>
    <w:p>
      <w:pPr>
        <w:spacing w:after="80" w:before="100"/>
      </w:pPr>
      <w:r>
        <w:rPr>
          <w:b/>
          <w:bCs/>
          <w:color w:val="B08D57"/>
          <w:sz w:val="20"/>
          <w:szCs w:val="20"/>
        </w:rPr>
        <w:t xml:space="preserve">Para personas morales:</w:t>
      </w:r>
    </w:p>
    <w:p>
      <w:pPr>
        <w:pStyle w:val="ListParagraph"/>
        <w:numPr>
          <w:ilvl w:val="0"/>
          <w:numId w:val="1"/>
        </w:numPr>
        <w:spacing w:after="60"/>
      </w:pPr>
      <w:r>
        <w:rPr>
          <w:sz w:val="20"/>
          <w:szCs w:val="20"/>
        </w:rPr>
        <w:t xml:space="preserve">Obtener mayor información de los principales accionistas o socios</w:t>
      </w:r>
    </w:p>
    <w:p>
      <w:pPr>
        <w:pStyle w:val="ListParagraph"/>
        <w:numPr>
          <w:ilvl w:val="0"/>
          <w:numId w:val="1"/>
        </w:numPr>
        <w:spacing w:after="60"/>
      </w:pPr>
      <w:r>
        <w:rPr>
          <w:sz w:val="20"/>
          <w:szCs w:val="20"/>
        </w:rPr>
        <w:t xml:space="preserve">Confirmar dicha información consultando los registros electrónicos de la Secretaría de Economía</w:t>
      </w:r>
    </w:p>
    <w:p>
      <w:pPr>
        <w:spacing w:after="80" w:before="100"/>
      </w:pPr>
      <w:r>
        <w:rPr>
          <w:b/>
          <w:bCs/>
          <w:color w:val="B08D57"/>
          <w:sz w:val="20"/>
          <w:szCs w:val="20"/>
        </w:rPr>
        <w:t xml:space="preserve">Para Personas Políticamente Expuestas extranjeras:</w:t>
      </w:r>
    </w:p>
    <w:p>
      <w:pPr>
        <w:pStyle w:val="ListParagraph"/>
        <w:numPr>
          <w:ilvl w:val="0"/>
          <w:numId w:val="1"/>
        </w:numPr>
        <w:spacing w:after="60"/>
      </w:pPr>
      <w:r>
        <w:rPr>
          <w:sz w:val="20"/>
          <w:szCs w:val="20"/>
        </w:rPr>
        <w:t xml:space="preserve">Se clasifican como Grado de Riesgo alto de manera obligatoria (D6, Sección VII), con independencia de la puntuación EBR</w:t>
      </w:r>
    </w:p>
    <w:p>
      <w:pPr>
        <w:pStyle w:val="ListParagraph"/>
        <w:numPr>
          <w:ilvl w:val="0"/>
          <w:numId w:val="1"/>
        </w:numPr>
        <w:spacing w:after="60"/>
      </w:pPr>
      <w:r>
        <w:rPr>
          <w:sz w:val="20"/>
          <w:szCs w:val="20"/>
        </w:rPr>
        <w:t xml:space="preserve">Obtener, además de lo anterior, la documentación relativa al cónyuge y dependientes económicos señalada para personas físicas</w:t>
      </w:r>
    </w:p>
    <w:p>
      <w:pPr>
        <w:pStyle w:val="ListParagraph"/>
        <w:numPr>
          <w:ilvl w:val="0"/>
          <w:numId w:val="1"/>
        </w:numPr>
        <w:spacing w:after="60"/>
      </w:pPr>
      <w:r>
        <w:rPr>
          <w:sz w:val="20"/>
          <w:szCs w:val="20"/>
        </w:rPr>
        <w:t xml:space="preserve">Documentar las razones por las que el cliente celebró el acto u operación en territorio mexicano</w:t>
      </w:r>
    </w:p>
    <w:p>
      <w:pPr>
        <w:pStyle w:val="ListParagraph"/>
        <w:numPr>
          <w:ilvl w:val="0"/>
          <w:numId w:val="1"/>
        </w:numPr>
        <w:spacing w:after="60"/>
      </w:pPr>
      <w:r>
        <w:rPr>
          <w:sz w:val="20"/>
          <w:szCs w:val="20"/>
        </w:rPr>
        <w:t xml:space="preserve">Monitoreo reforzado durante la vigencia del contrato</w:t>
      </w:r>
    </w:p>
    <w:p>
      <w:pPr>
        <w:pStyle w:val="ListParagraph"/>
        <w:numPr>
          <w:ilvl w:val="0"/>
          <w:numId w:val="1"/>
        </w:numPr>
        <w:spacing w:after="60"/>
      </w:pPr>
      <w:r>
        <w:rPr>
          <w:sz w:val="20"/>
          <w:szCs w:val="20"/>
        </w:rPr>
        <w:t xml:space="preserve">Registro detallado de todas las medidas aplicadas en el expediente KYC (D7)</w:t>
      </w:r>
    </w:p>
    <w:p>
      <w:pPr>
        <w:pStyle w:val="ListParagraph"/>
        <w:numPr>
          <w:ilvl w:val="0"/>
          <w:numId w:val="1"/>
        </w:numPr>
        <w:spacing w:after="60"/>
      </w:pPr>
      <w:r>
        <w:rPr>
          <w:sz w:val="20"/>
          <w:szCs w:val="20"/>
        </w:rPr>
        <w:t xml:space="preserve">Presentación de Aviso al SAT independientemente del monto, si la naturaleza de la operación lo justifica</w:t>
      </w:r>
    </w:p>
    <w:p>
      <w:pPr>
        <w:pStyle w:val="Heading2"/>
        <w:spacing w:after="120" w:before="320"/>
      </w:pPr>
      <w:r>
        <w:t xml:space="preserve">V. Aprobación para operar con un PEP de Riesgo alto</w:t>
      </w:r>
    </w:p>
    <w:p>
      <w:pPr>
        <w:spacing w:after="120"/>
      </w:pPr>
      <w:r>
        <w:rPr>
          <w:sz w:val="20"/>
          <w:szCs w:val="20"/>
        </w:rPr>
        <w:t xml:space="preserve">Cuando un cliente sea clasificado simultáneamente como PEP y de Grado de Riesgo alto, la operación requiere la aprobación de un directivo o su equivalente que consienta el acto antes de llevarse a cabo, conforme al Art. 23 Ter 5 de las RCG.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Mar>
              <w:top w:type="dxa" w:w="70"/>
              <w:left w:type="dxa" w:w="100"/>
              <w:bottom w:type="dxa" w:w="70"/>
              <w:right w:type="dxa" w:w="100"/>
            </w:tcMar>
          </w:tcPr>
          <w:p>
            <w:r>
              <w:rPr>
                <w:b w:val="false"/>
                <w:bCs w:val="false"/>
                <w:sz w:val="18"/>
                <w:szCs w:val="18"/>
              </w:rPr>
              <w:t xml:space="preserve">Directivo que aprueba:</w:t>
            </w:r>
          </w:p>
        </w:tc>
        <w:tc>
          <w:tcPr>
            <w:tcW w:type="dxa" w:w="6200"/>
            <w:tcMar>
              <w:top w:type="dxa" w:w="70"/>
              <w:left w:type="dxa" w:w="100"/>
              <w:bottom w:type="dxa" w:w="70"/>
              <w:right w:type="dxa" w:w="100"/>
            </w:tcMar>
          </w:tcPr>
          <w:p>
            <w:r>
              <w:rPr>
                <w:b w:val="false"/>
                <w:bCs w:val="false"/>
                <w:sz w:val="18"/>
                <w:szCs w:val="18"/>
              </w:rPr>
              <w:t xml:space="preserve">[Nombre / Cargo]</w:t>
            </w:r>
          </w:p>
        </w:tc>
      </w:tr>
      <w:tr>
        <w:tc>
          <w:tcPr>
            <w:tcW w:type="dxa" w:w="3400"/>
            <w:tcMar>
              <w:top w:type="dxa" w:w="70"/>
              <w:left w:type="dxa" w:w="100"/>
              <w:bottom w:type="dxa" w:w="70"/>
              <w:right w:type="dxa" w:w="100"/>
            </w:tcMar>
          </w:tcPr>
          <w:p>
            <w:r>
              <w:rPr>
                <w:b w:val="false"/>
                <w:bCs w:val="false"/>
                <w:sz w:val="18"/>
                <w:szCs w:val="18"/>
              </w:rPr>
              <w:t xml:space="preserve">Fecha de aprobación:</w:t>
            </w:r>
          </w:p>
        </w:tc>
        <w:tc>
          <w:tcPr>
            <w:tcW w:type="dxa" w:w="6200"/>
            <w:tcMar>
              <w:top w:type="dxa" w:w="70"/>
              <w:left w:type="dxa" w:w="100"/>
              <w:bottom w:type="dxa" w:w="70"/>
              <w:right w:type="dxa" w:w="100"/>
            </w:tcMar>
          </w:tcPr>
          <w:p>
            <w:r>
              <w:rPr>
                <w:b w:val="false"/>
                <w:bCs w:val="false"/>
                <w:sz w:val="18"/>
                <w:szCs w:val="18"/>
              </w:rPr>
              <w:t xml:space="preserve">[Fecha]</w:t>
            </w:r>
          </w:p>
        </w:tc>
      </w:tr>
      <w:tr>
        <w:tc>
          <w:tcPr>
            <w:tcW w:type="dxa" w:w="3400"/>
            <w:tcMar>
              <w:top w:type="dxa" w:w="70"/>
              <w:left w:type="dxa" w:w="100"/>
              <w:bottom w:type="dxa" w:w="70"/>
              <w:right w:type="dxa" w:w="100"/>
            </w:tcMar>
          </w:tcPr>
          <w:p>
            <w:r>
              <w:rPr>
                <w:b w:val="false"/>
                <w:bCs w:val="false"/>
                <w:sz w:val="18"/>
                <w:szCs w:val="18"/>
              </w:rPr>
              <w:t xml:space="preserve">Firma:</w:t>
            </w:r>
          </w:p>
        </w:tc>
        <w:tc>
          <w:tcPr>
            <w:tcW w:type="dxa" w:w="6200"/>
            <w:tcMar>
              <w:top w:type="dxa" w:w="70"/>
              <w:left w:type="dxa" w:w="100"/>
              <w:bottom w:type="dxa" w:w="70"/>
              <w:right w:type="dxa" w:w="100"/>
            </w:tcMar>
          </w:tcPr>
          <w:p>
            <w:r>
              <w:rPr>
                <w:b w:val="false"/>
                <w:bCs w:val="false"/>
                <w:sz w:val="18"/>
                <w:szCs w:val="18"/>
              </w:rPr>
              <w:t xml:space="preserve"/>
            </w:r>
          </w:p>
        </w:tc>
      </w:tr>
    </w:tbl>
    <w:p>
      <w:pPr>
        <w:spacing w:after="120"/>
      </w:pPr>
      <w:r>
        <w:rPr>
          <w:sz w:val="20"/>
          <w:szCs w:val="20"/>
        </w:rPr>
        <w:t xml:space="preserve">Si [EMPRESA] realiza la Actividad Vulnerable como persona física, la aprobación anterior se sustituye por una constancia firmada en la que se señalen los motivos considerados para realizar la operación, documentada en el expediente KYC (D7).</w:t>
      </w:r>
    </w:p>
    <w:p>
      <w:pPr>
        <w:pStyle w:val="Heading2"/>
        <w:spacing w:after="120" w:before="320"/>
      </w:pPr>
      <w:r>
        <w:t xml:space="preserve">VI. Registro de PEP's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500"/>
            <w:shd w:fill="1F3864" w:val="clear"/>
            <w:tcMar>
              <w:top w:type="dxa" w:w="70"/>
              <w:left w:type="dxa" w:w="100"/>
              <w:bottom w:type="dxa" w:w="70"/>
              <w:right w:type="dxa" w:w="100"/>
            </w:tcMar>
          </w:tcPr>
          <w:p>
            <w:r>
              <w:rPr>
                <w:b/>
                <w:bCs/>
                <w:color w:val="FFFFFF"/>
                <w:sz w:val="18"/>
                <w:szCs w:val="18"/>
              </w:rPr>
              <w:t xml:space="preserve">No.</w:t>
            </w:r>
          </w:p>
        </w:tc>
        <w:tc>
          <w:tcPr>
            <w:tcW w:type="dxa" w:w="1800"/>
            <w:shd w:fill="1F3864" w:val="clear"/>
            <w:tcMar>
              <w:top w:type="dxa" w:w="70"/>
              <w:left w:type="dxa" w:w="100"/>
              <w:bottom w:type="dxa" w:w="70"/>
              <w:right w:type="dxa" w:w="100"/>
            </w:tcMar>
          </w:tcPr>
          <w:p>
            <w:r>
              <w:rPr>
                <w:b/>
                <w:bCs/>
                <w:color w:val="FFFFFF"/>
                <w:sz w:val="18"/>
                <w:szCs w:val="18"/>
              </w:rPr>
              <w:t xml:space="preserve">Nombre del cliente</w:t>
            </w:r>
          </w:p>
        </w:tc>
        <w:tc>
          <w:tcPr>
            <w:tcW w:type="dxa" w:w="1800"/>
            <w:shd w:fill="1F3864" w:val="clear"/>
            <w:tcMar>
              <w:top w:type="dxa" w:w="70"/>
              <w:left w:type="dxa" w:w="100"/>
              <w:bottom w:type="dxa" w:w="70"/>
              <w:right w:type="dxa" w:w="100"/>
            </w:tcMar>
          </w:tcPr>
          <w:p>
            <w:r>
              <w:rPr>
                <w:b/>
                <w:bCs/>
                <w:color w:val="FFFFFF"/>
                <w:sz w:val="18"/>
                <w:szCs w:val="18"/>
              </w:rPr>
              <w:t xml:space="preserve">Cargo o vínculo PEP</w:t>
            </w:r>
          </w:p>
        </w:tc>
        <w:tc>
          <w:tcPr>
            <w:tcW w:type="dxa" w:w="1200"/>
            <w:shd w:fill="1F3864" w:val="clear"/>
            <w:tcMar>
              <w:top w:type="dxa" w:w="70"/>
              <w:left w:type="dxa" w:w="100"/>
              <w:bottom w:type="dxa" w:w="70"/>
              <w:right w:type="dxa" w:w="100"/>
            </w:tcMar>
          </w:tcPr>
          <w:p>
            <w:r>
              <w:rPr>
                <w:b/>
                <w:bCs/>
                <w:color w:val="FFFFFF"/>
                <w:sz w:val="18"/>
                <w:szCs w:val="18"/>
              </w:rPr>
              <w:t xml:space="preserve">Fecha</w:t>
            </w:r>
          </w:p>
        </w:tc>
        <w:tc>
          <w:tcPr>
            <w:tcW w:type="dxa" w:w="1200"/>
            <w:shd w:fill="1F3864" w:val="clear"/>
            <w:tcMar>
              <w:top w:type="dxa" w:w="70"/>
              <w:left w:type="dxa" w:w="100"/>
              <w:bottom w:type="dxa" w:w="70"/>
              <w:right w:type="dxa" w:w="100"/>
            </w:tcMar>
          </w:tcPr>
          <w:p>
            <w:r>
              <w:rPr>
                <w:b/>
                <w:bCs/>
                <w:color w:val="FFFFFF"/>
                <w:sz w:val="18"/>
                <w:szCs w:val="18"/>
              </w:rPr>
              <w:t xml:space="preserve">Operación</w:t>
            </w:r>
          </w:p>
        </w:tc>
        <w:tc>
          <w:tcPr>
            <w:tcW w:type="dxa" w:w="1000"/>
            <w:shd w:fill="1F3864" w:val="clear"/>
            <w:tcMar>
              <w:top w:type="dxa" w:w="70"/>
              <w:left w:type="dxa" w:w="100"/>
              <w:bottom w:type="dxa" w:w="70"/>
              <w:right w:type="dxa" w:w="100"/>
            </w:tcMar>
          </w:tcPr>
          <w:p>
            <w:r>
              <w:rPr>
                <w:b/>
                <w:bCs/>
                <w:color w:val="FFFFFF"/>
                <w:sz w:val="18"/>
                <w:szCs w:val="18"/>
              </w:rPr>
              <w:t xml:space="preserve">Grado de Riesgo</w:t>
            </w:r>
          </w:p>
        </w:tc>
        <w:tc>
          <w:tcPr>
            <w:tcW w:type="dxa" w:w="1500"/>
            <w:shd w:fill="1F3864" w:val="clear"/>
            <w:tcMar>
              <w:top w:type="dxa" w:w="70"/>
              <w:left w:type="dxa" w:w="100"/>
              <w:bottom w:type="dxa" w:w="70"/>
              <w:right w:type="dxa" w:w="100"/>
            </w:tcMar>
          </w:tcPr>
          <w:p>
            <w:r>
              <w:rPr>
                <w:b/>
                <w:bCs/>
                <w:color w:val="FFFFFF"/>
                <w:sz w:val="18"/>
                <w:szCs w:val="18"/>
              </w:rPr>
              <w:t xml:space="preserve">Resultado</w:t>
            </w:r>
          </w:p>
        </w:tc>
      </w:tr>
      <w:tr>
        <w:tc>
          <w:tcPr>
            <w:tcW w:type="dxa" w:w="500"/>
            <w:tcMar>
              <w:top w:type="dxa" w:w="70"/>
              <w:left w:type="dxa" w:w="100"/>
              <w:bottom w:type="dxa" w:w="70"/>
              <w:right w:type="dxa" w:w="100"/>
            </w:tcMar>
          </w:tcPr>
          <w:p>
            <w:r>
              <w:rPr>
                <w:b w:val="false"/>
                <w:bCs w:val="false"/>
                <w:sz w:val="18"/>
                <w:szCs w:val="18"/>
              </w:rPr>
              <w:t xml:space="preserve">1</w:t>
            </w:r>
          </w:p>
        </w:tc>
        <w:tc>
          <w:tcPr>
            <w:tcW w:type="dxa" w:w="1800"/>
            <w:tcMar>
              <w:top w:type="dxa" w:w="70"/>
              <w:left w:type="dxa" w:w="100"/>
              <w:bottom w:type="dxa" w:w="70"/>
              <w:right w:type="dxa" w:w="100"/>
            </w:tcMar>
          </w:tcPr>
          <w:p>
            <w:r>
              <w:rPr>
                <w:b w:val="false"/>
                <w:bCs w:val="false"/>
                <w:sz w:val="18"/>
                <w:szCs w:val="18"/>
              </w:rPr>
              <w:t xml:space="preserve"/>
            </w:r>
          </w:p>
        </w:tc>
        <w:tc>
          <w:tcPr>
            <w:tcW w:type="dxa" w:w="18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000"/>
            <w:tcMar>
              <w:top w:type="dxa" w:w="70"/>
              <w:left w:type="dxa" w:w="100"/>
              <w:bottom w:type="dxa" w:w="70"/>
              <w:right w:type="dxa" w:w="100"/>
            </w:tcMar>
          </w:tcPr>
          <w:p>
            <w:r>
              <w:rPr>
                <w:b w:val="false"/>
                <w:bCs w:val="false"/>
                <w:sz w:val="18"/>
                <w:szCs w:val="18"/>
              </w:rPr>
              <w:t xml:space="preserve">[ ] BAJO [ ] MEDIO [ ] ALTO</w:t>
            </w:r>
          </w:p>
        </w:tc>
        <w:tc>
          <w:tcPr>
            <w:tcW w:type="dxa" w:w="1500"/>
            <w:tcMar>
              <w:top w:type="dxa" w:w="70"/>
              <w:left w:type="dxa" w:w="100"/>
              <w:bottom w:type="dxa" w:w="70"/>
              <w:right w:type="dxa" w:w="100"/>
            </w:tcMar>
          </w:tcPr>
          <w:p>
            <w:r>
              <w:rPr>
                <w:b w:val="false"/>
                <w:bCs w:val="false"/>
                <w:sz w:val="18"/>
                <w:szCs w:val="18"/>
              </w:rPr>
              <w:t xml:space="preserve">[ ] Operó  [ ] No operó</w:t>
            </w:r>
          </w:p>
        </w:tc>
      </w:tr>
      <w:tr>
        <w:tc>
          <w:tcPr>
            <w:tcW w:type="dxa" w:w="500"/>
            <w:tcMar>
              <w:top w:type="dxa" w:w="70"/>
              <w:left w:type="dxa" w:w="100"/>
              <w:bottom w:type="dxa" w:w="70"/>
              <w:right w:type="dxa" w:w="100"/>
            </w:tcMar>
          </w:tcPr>
          <w:p>
            <w:r>
              <w:rPr>
                <w:b w:val="false"/>
                <w:bCs w:val="false"/>
                <w:sz w:val="18"/>
                <w:szCs w:val="18"/>
              </w:rPr>
              <w:t xml:space="preserve">2</w:t>
            </w:r>
          </w:p>
        </w:tc>
        <w:tc>
          <w:tcPr>
            <w:tcW w:type="dxa" w:w="1800"/>
            <w:tcMar>
              <w:top w:type="dxa" w:w="70"/>
              <w:left w:type="dxa" w:w="100"/>
              <w:bottom w:type="dxa" w:w="70"/>
              <w:right w:type="dxa" w:w="100"/>
            </w:tcMar>
          </w:tcPr>
          <w:p>
            <w:r>
              <w:rPr>
                <w:b w:val="false"/>
                <w:bCs w:val="false"/>
                <w:sz w:val="18"/>
                <w:szCs w:val="18"/>
              </w:rPr>
              <w:t xml:space="preserve"/>
            </w:r>
          </w:p>
        </w:tc>
        <w:tc>
          <w:tcPr>
            <w:tcW w:type="dxa" w:w="18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200"/>
            <w:tcMar>
              <w:top w:type="dxa" w:w="70"/>
              <w:left w:type="dxa" w:w="100"/>
              <w:bottom w:type="dxa" w:w="70"/>
              <w:right w:type="dxa" w:w="100"/>
            </w:tcMar>
          </w:tcPr>
          <w:p>
            <w:r>
              <w:rPr>
                <w:b w:val="false"/>
                <w:bCs w:val="false"/>
                <w:sz w:val="18"/>
                <w:szCs w:val="18"/>
              </w:rPr>
              <w:t xml:space="preserve"/>
            </w:r>
          </w:p>
        </w:tc>
        <w:tc>
          <w:tcPr>
            <w:tcW w:type="dxa" w:w="1000"/>
            <w:tcMar>
              <w:top w:type="dxa" w:w="70"/>
              <w:left w:type="dxa" w:w="100"/>
              <w:bottom w:type="dxa" w:w="70"/>
              <w:right w:type="dxa" w:w="100"/>
            </w:tcMar>
          </w:tcPr>
          <w:p>
            <w:r>
              <w:rPr>
                <w:b w:val="false"/>
                <w:bCs w:val="false"/>
                <w:sz w:val="18"/>
                <w:szCs w:val="18"/>
              </w:rPr>
              <w:t xml:space="preserve">[ ] BAJO [ ] MEDIO [ ] ALTO</w:t>
            </w:r>
          </w:p>
        </w:tc>
        <w:tc>
          <w:tcPr>
            <w:tcW w:type="dxa" w:w="1500"/>
            <w:tcMar>
              <w:top w:type="dxa" w:w="70"/>
              <w:left w:type="dxa" w:w="100"/>
              <w:bottom w:type="dxa" w:w="70"/>
              <w:right w:type="dxa" w:w="100"/>
            </w:tcMar>
          </w:tcPr>
          <w:p>
            <w:r>
              <w:rPr>
                <w:b w:val="false"/>
                <w:bCs w:val="false"/>
                <w:sz w:val="18"/>
                <w:szCs w:val="18"/>
              </w:rPr>
              <w:t xml:space="preserve">[ ] Operó  [ ] No operó</w:t>
            </w:r>
          </w:p>
        </w:tc>
      </w:tr>
    </w:tbl>
    <w:p>
      <w:pPr>
        <w:pStyle w:val="Heading2"/>
        <w:spacing w:after="120" w:before="320"/>
      </w:pPr>
      <w:r>
        <w:t xml:space="preserve">VII. Cuándo no operar con un PEP</w:t>
      </w:r>
    </w:p>
    <w:p>
      <w:pPr>
        <w:pStyle w:val="ListParagraph"/>
        <w:numPr>
          <w:ilvl w:val="0"/>
          <w:numId w:val="1"/>
        </w:numPr>
        <w:spacing w:after="60"/>
      </w:pPr>
      <w:r>
        <w:rPr>
          <w:sz w:val="20"/>
          <w:szCs w:val="20"/>
        </w:rPr>
        <w:t xml:space="preserve">No sea posible verificar el origen de los fondos</w:t>
      </w:r>
    </w:p>
    <w:p>
      <w:pPr>
        <w:pStyle w:val="ListParagraph"/>
        <w:numPr>
          <w:ilvl w:val="0"/>
          <w:numId w:val="1"/>
        </w:numPr>
        <w:spacing w:after="60"/>
      </w:pPr>
      <w:r>
        <w:rPr>
          <w:sz w:val="20"/>
          <w:szCs w:val="20"/>
        </w:rPr>
        <w:t xml:space="preserve">La operación presente múltiples señales de alerta sin justificación</w:t>
      </w:r>
    </w:p>
    <w:p>
      <w:pPr>
        <w:pStyle w:val="ListParagraph"/>
        <w:numPr>
          <w:ilvl w:val="0"/>
          <w:numId w:val="1"/>
        </w:numPr>
        <w:spacing w:after="60"/>
      </w:pPr>
      <w:r>
        <w:rPr>
          <w:sz w:val="20"/>
          <w:szCs w:val="20"/>
        </w:rPr>
        <w:t xml:space="preserve">El valor de la operación sea notoriamente desproporcionado respecto al cargo público</w:t>
      </w:r>
    </w:p>
    <w:p>
      <w:pPr>
        <w:pStyle w:val="ListParagraph"/>
        <w:numPr>
          <w:ilvl w:val="0"/>
          <w:numId w:val="1"/>
        </w:numPr>
        <w:spacing w:after="60"/>
      </w:pPr>
      <w:r>
        <w:rPr>
          <w:sz w:val="20"/>
          <w:szCs w:val="20"/>
        </w:rPr>
        <w:t xml:space="preserve">El cliente se niegue a proporcionar información o documentación adicional</w:t>
      </w:r>
    </w:p>
    <w:p>
      <w:pPr>
        <w:pStyle w:val="ListParagraph"/>
        <w:numPr>
          <w:ilvl w:val="0"/>
          <w:numId w:val="1"/>
        </w:numPr>
        <w:spacing w:after="60"/>
      </w:pPr>
      <w:r>
        <w:rPr>
          <w:sz w:val="20"/>
          <w:szCs w:val="20"/>
        </w:rPr>
        <w:t xml:space="preserve">No se haya obtenido la aprobación de directivo requerida para PEP de Riesgo alto (Sección V)</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8"/>
                <w:szCs w:val="18"/>
              </w:rPr>
              <w:t xml:space="preserve">Aprobado por:</w:t>
            </w:r>
          </w:p>
        </w:tc>
        <w:tc>
          <w:tcPr>
            <w:tcW w:type="dxa" w:w="6000"/>
            <w:tcMar>
              <w:top w:type="dxa" w:w="70"/>
              <w:left w:type="dxa" w:w="100"/>
              <w:bottom w:type="dxa" w:w="70"/>
              <w:right w:type="dxa" w:w="100"/>
            </w:tcMar>
          </w:tcPr>
          <w:p>
            <w:r>
              <w:rPr>
                <w:b w:val="false"/>
                <w:bCs w:val="false"/>
                <w:sz w:val="18"/>
                <w:szCs w:val="18"/>
              </w:rPr>
              <w:t xml:space="preserve"/>
            </w:r>
          </w:p>
        </w:tc>
      </w:tr>
      <w:tr>
        <w:tc>
          <w:tcPr>
            <w:tcW w:type="dxa" w:w="3000"/>
            <w:tcMar>
              <w:top w:type="dxa" w:w="70"/>
              <w:left w:type="dxa" w:w="100"/>
              <w:bottom w:type="dxa" w:w="70"/>
              <w:right w:type="dxa" w:w="100"/>
            </w:tcMar>
          </w:tcPr>
          <w:p>
            <w:r>
              <w:rPr>
                <w:b w:val="false"/>
                <w:bCs w:val="false"/>
                <w:sz w:val="18"/>
                <w:szCs w:val="18"/>
              </w:rPr>
              <w:t xml:space="preserve">Cargo:</w:t>
            </w:r>
          </w:p>
        </w:tc>
        <w:tc>
          <w:tcPr>
            <w:tcW w:type="dxa" w:w="6000"/>
            <w:tcMar>
              <w:top w:type="dxa" w:w="70"/>
              <w:left w:type="dxa" w:w="100"/>
              <w:bottom w:type="dxa" w:w="70"/>
              <w:right w:type="dxa" w:w="100"/>
            </w:tcMar>
          </w:tcPr>
          <w:p>
            <w:r>
              <w:rPr>
                <w:b w:val="false"/>
                <w:bCs w:val="false"/>
                <w:sz w:val="18"/>
                <w:szCs w:val="18"/>
              </w:rPr>
              <w:t xml:space="preserve"/>
            </w:r>
          </w:p>
        </w:tc>
      </w:tr>
      <w:tr>
        <w:tc>
          <w:tcPr>
            <w:tcW w:type="dxa" w:w="3000"/>
            <w:tcMar>
              <w:top w:type="dxa" w:w="70"/>
              <w:left w:type="dxa" w:w="100"/>
              <w:bottom w:type="dxa" w:w="70"/>
              <w:right w:type="dxa" w:w="100"/>
            </w:tcMar>
          </w:tcPr>
          <w:p>
            <w:r>
              <w:rPr>
                <w:b w:val="false"/>
                <w:bCs w:val="false"/>
                <w:sz w:val="18"/>
                <w:szCs w:val="18"/>
              </w:rPr>
              <w:t xml:space="preserve">Fecha:</w:t>
            </w:r>
          </w:p>
        </w:tc>
        <w:tc>
          <w:tcPr>
            <w:tcW w:type="dxa" w:w="6000"/>
            <w:tcMar>
              <w:top w:type="dxa" w:w="70"/>
              <w:left w:type="dxa" w:w="100"/>
              <w:bottom w:type="dxa" w:w="70"/>
              <w:right w:type="dxa" w:w="100"/>
            </w:tcMar>
          </w:tcPr>
          <w:p>
            <w:r>
              <w:rPr>
                <w:b w:val="false"/>
                <w:bCs w:val="false"/>
                <w:sz w:val="18"/>
                <w:szCs w:val="18"/>
              </w:rPr>
              <w:t xml:space="preserve"/>
            </w:r>
          </w:p>
        </w:tc>
      </w:tr>
      <w:tr>
        <w:tc>
          <w:tcPr>
            <w:tcW w:type="dxa" w:w="3000"/>
            <w:tcMar>
              <w:top w:type="dxa" w:w="70"/>
              <w:left w:type="dxa" w:w="100"/>
              <w:bottom w:type="dxa" w:w="70"/>
              <w:right w:type="dxa" w:w="100"/>
            </w:tcMar>
          </w:tcPr>
          <w:p>
            <w:r>
              <w:rPr>
                <w:b w:val="false"/>
                <w:bCs w:val="false"/>
                <w:sz w:val="18"/>
                <w:szCs w:val="18"/>
              </w:rPr>
              <w:t xml:space="preserve">Firma:</w:t>
            </w:r>
          </w:p>
        </w:tc>
        <w:tc>
          <w:tcPr>
            <w:tcW w:type="dxa" w:w="6000"/>
            <w:tcMar>
              <w:top w:type="dxa" w:w="70"/>
              <w:left w:type="dxa" w:w="100"/>
              <w:bottom w:type="dxa" w:w="70"/>
              <w:right w:type="dxa" w:w="100"/>
            </w:tcMar>
          </w:tcPr>
          <w:p>
            <w:r>
              <w:rPr>
                <w:b w:val="false"/>
                <w:bCs w:val="false"/>
                <w:sz w:val="18"/>
                <w:szCs w:val="18"/>
              </w:rPr>
              <w:t xml:space="preserve"/>
            </w:r>
          </w:p>
        </w:tc>
      </w:tr>
    </w:tbl>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2026-08-11T14:13:31.926Z</dcterms:created>
  <dcterms:modified xsi:type="dcterms:W3CDTF">2026-08-11T14:13:31.926Z</dcterms:modified>
</cp:coreProperties>
</file>

<file path=docProps/custom.xml><?xml version="1.0" encoding="utf-8"?>
<Properties xmlns="http://schemas.openxmlformats.org/officeDocument/2006/custom-properties" xmlns:vt="http://schemas.openxmlformats.org/officeDocument/2006/docPropsVTypes"/>
</file>