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600"/>
            <w:shd w:fill="1F386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CERTUS PLD  |  D9 — Formato de Reporte de Operación Inusual (ROI)</w:t>
            </w:r>
          </w:p>
        </w:tc>
      </w:tr>
    </w:tbl>
    <w:p>
      <w:pPr>
        <w:spacing w:after="120"/>
      </w:pP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No. de reporte:</w:t>
            </w:r>
          </w:p>
        </w:tc>
        <w:tc>
          <w:tcPr>
            <w:tcW w:type="dxa" w:w="6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[Número secuencial]</w:t>
            </w:r>
          </w:p>
        </w:tc>
      </w:tr>
      <w:t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Empresa:</w:t>
            </w:r>
          </w:p>
        </w:tc>
        <w:tc>
          <w:tcPr>
            <w:tcW w:type="dxa" w:w="6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[EMPRESA]</w:t>
            </w:r>
          </w:p>
        </w:tc>
      </w:tr>
      <w:t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Fecha de elaboración:</w:t>
            </w:r>
          </w:p>
        </w:tc>
        <w:tc>
          <w:tcPr>
            <w:tcW w:type="dxa" w:w="6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[Fecha]</w:t>
            </w:r>
          </w:p>
        </w:tc>
      </w:tr>
      <w:t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Elaborado por:</w:t>
            </w:r>
          </w:p>
        </w:tc>
        <w:tc>
          <w:tcPr>
            <w:tcW w:type="dxa" w:w="6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[Nombre del Representante de Cumplimiento]</w:t>
            </w:r>
          </w:p>
        </w:tc>
      </w:tr>
      <w:t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Estado:</w:t>
            </w:r>
          </w:p>
        </w:tc>
        <w:tc>
          <w:tcPr>
            <w:tcW w:type="dxa" w:w="6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[ ] Preliminar    [ ] Final    [ ] Enviado al SAT</w:t>
            </w:r>
          </w:p>
        </w:tc>
      </w:tr>
      <w:tr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Programa:</w:t>
            </w:r>
          </w:p>
        </w:tc>
        <w:tc>
          <w:tcPr>
            <w:tcW w:type="dxa" w:w="6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Certus PLD │ Certus Consultores</w:t>
            </w:r>
          </w:p>
        </w:tc>
      </w:tr>
    </w:tbl>
    <w:p>
      <w:pPr>
        <w:spacing w:after="200"/>
      </w:pPr>
    </w:p>
    <w:p>
      <w:pPr>
        <w:shd w:fill="FFF2CC" w:val="clear"/>
        <w:spacing w:after="240"/>
      </w:pPr>
      <w:r>
        <w:rPr>
          <w:b/>
          <w:bCs/>
          <w:sz w:val="19"/>
          <w:szCs w:val="19"/>
        </w:rPr>
        <w:t xml:space="preserve">Nota de actualización regulatoria: </w:t>
      </w:r>
      <w:r>
        <w:rPr>
          <w:i/>
          <w:iCs/>
          <w:sz w:val="19"/>
          <w:szCs w:val="19"/>
        </w:rPr>
        <w:t xml:space="preserve">esta versión incorpora los Arts. 26 Bis, 26 Bis 1 y 26 Bis 2 de las Reglas de Carácter General reformadas por el Acuerdo 115/2026 (DOF 07/08/2026), que fijan un plazo de 24 HORAS para el envío del Aviso, contado desde que se reconoce la conducta o el indicio — ya no basta con controlar por día o por mes. Este formato ahora distingue entre Aviso por sospecha y Aviso por hechos o indicios, y registra la hora exacta de detección.</w:t>
      </w:r>
    </w:p>
    <w:p>
      <w:pPr>
        <w:pStyle w:val="Heading2"/>
        <w:spacing w:after="120" w:before="320"/>
      </w:pPr>
      <w:r>
        <w:t xml:space="preserve">Sección 1. Datos de la operación inusual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Tipo de Aviso: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[ ] Aviso por sospecha (Art. 26 Bis RCG) — conducta reconocida por la propia empresa   [ ] Aviso por hechos o indicios (Art. 26 Bis 1 RCG) — información de fuentes públicas o privadas</w:t>
            </w:r>
          </w:p>
        </w:tc>
      </w:tr>
      <w:t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Fecha y hora en que se reconoció la conducta o el indicio: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[Fecha] — [Hora]</w:t>
            </w:r>
          </w:p>
        </w:tc>
      </w:tr>
      <w:t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Plazo límite de envío (24 horas después):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[Fecha] — [Hora]</w:t>
            </w:r>
          </w:p>
        </w:tc>
      </w:tr>
      <w:t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Fecha en que ocurrió la operación (si aplica):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[Fecha]</w:t>
            </w:r>
          </w:p>
        </w:tc>
      </w:tr>
      <w:t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Tipo de operación: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[ ] Compraventa  [ ] Preventa  [ ] Arrendamiento  [ ] Intermediación  [ ] Otro: ___</w:t>
            </w:r>
          </w:p>
        </w:tc>
      </w:tr>
      <w:t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Monto involucrado: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$                     MXN</w:t>
            </w:r>
          </w:p>
        </w:tc>
      </w:tr>
      <w:t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¿Alcanza el umbral de identificación/Aviso, o se envía sin alcanzarlo (Art. 26 Bis 2 RCG)?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[ ] Alcanza el umbral   [ ] No alcanza el umbral, se envía de cualquier forma   [ ] Operación no consumada</w:t>
            </w:r>
          </w:p>
        </w:tc>
      </w:tr>
      <w:t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Inmueble relacionado: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[Descripción y ubicación]</w:t>
            </w:r>
          </w:p>
        </w:tc>
      </w:tr>
      <w:t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Forma de pago involucrada: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[ ] Transferencia  [ ] Cheque  [ ] Efectivo  [ ] Criptoactivo  [ ] Mixto</w:t>
            </w:r>
          </w:p>
        </w:tc>
      </w:tr>
    </w:tbl>
    <w:p>
      <w:pPr>
        <w:spacing w:after="160" w:before="60"/>
      </w:pPr>
      <w:r>
        <w:rPr>
          <w:i/>
          <w:iCs/>
          <w:color w:val="666666"/>
          <w:sz w:val="19"/>
          <w:szCs w:val="19"/>
        </w:rPr>
        <w:t xml:space="preserve">El Aviso por sospecha y el Aviso por hechos o indicios pueden presentarse aunque el acto no alcance el umbral de la fracción aplicable del Art. 17 de la Ley, o aunque no se haya consumado, siempre que se cuente con datos que permitan identificar al Cliente o Usuaria, o a quien intentó realizar el acto (Art. 26 Bis 2 RCG).</w:t>
      </w:r>
    </w:p>
    <w:p>
      <w:pPr>
        <w:pStyle w:val="Heading2"/>
        <w:spacing w:after="120" w:before="320"/>
      </w:pPr>
      <w:r>
        <w:t xml:space="preserve">Sección 2. Datos del posible involucrado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Nombre / Denominación: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RFC / CURP: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Tipo: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[ ] PF   [ ] PM   [ ] Fideicomiso</w:t>
            </w:r>
          </w:p>
        </w:tc>
      </w:tr>
      <w:t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Relación con la empresa: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[ ] Cliente  [ ] Proveedor  [ ] Empleado  [ ] Tercero</w:t>
            </w:r>
          </w:p>
        </w:tc>
      </w:tr>
      <w:t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No. de expediente KYC (D7):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Grado de Riesgo (D6):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[ ] BAJO   [ ] MEDIO   [ ] ALTO   —   Puntuación: ___ / 27</w:t>
            </w:r>
          </w:p>
        </w:tc>
      </w:tr>
      <w:t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¿Es PEP, o cónyuge/pariente hasta 2° grado/socio con vínculo patrimonial de un PEP?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[ ] Sí   [ ] No — ver D8</w:t>
            </w:r>
          </w:p>
        </w:tc>
      </w:tr>
      <w:t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¿Tiene Beneficiario Controlador identificado?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[ ] Sí   [ ] No   [ ] No aplica — ver D7, Sección E</w:t>
            </w:r>
          </w:p>
        </w:tc>
      </w:tr>
    </w:tbl>
    <w:p>
      <w:pPr>
        <w:pStyle w:val="Heading2"/>
        <w:spacing w:after="120" w:before="320"/>
      </w:pPr>
      <w:r>
        <w:t xml:space="preserve">Sección 3. Descripción de la alerta</w:t>
      </w:r>
    </w:p>
    <w:p>
      <w:pPr>
        <w:spacing w:after="80" w:before="100"/>
      </w:pPr>
      <w:r>
        <w:rPr>
          <w:b/>
          <w:bCs/>
          <w:color w:val="B08D57"/>
          <w:sz w:val="20"/>
          <w:szCs w:val="20"/>
        </w:rPr>
        <w:t xml:space="preserve">3.1 Señales de alerta identificadas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shd w:fill="1F386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Categoría</w:t>
            </w:r>
          </w:p>
        </w:tc>
        <w:tc>
          <w:tcPr>
            <w:tcW w:type="dxa" w:w="5600"/>
            <w:shd w:fill="1F386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Señal de alerta detectada</w:t>
            </w:r>
          </w:p>
        </w:tc>
        <w:tc>
          <w:tcPr>
            <w:tcW w:type="dxa" w:w="1200"/>
            <w:shd w:fill="1F386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Aplica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Efectivo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Pago en efectivo por montos superiores al umbral del Art. 32 LFPIORPI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[ ] Sí  [ ] No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Efectivo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Solicitud de subdivisiones de pagos para evitar el umbral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[ ] Sí  [ ] No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Identidad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cliente no puede acreditar su identidad o se niega a proporcionarla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[ ] Sí  [ ] No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Origen fondos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cliente no puede justificar el origen o destino de sus recursos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[ ] Sí  [ ] No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Perfil transaccional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 operación se aparta del Perfil Transaccional determinado (D7, Sección F)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[ ] Sí  [ ] No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Precio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Precio de compraventa significativamente por debajo del valor de mercado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[ ] Sí  [ ] No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Precio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Precio de compraventa excesivamente alto sin justificación aparente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[ ] Sí  [ ] No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Estructura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Adquisición de múltiples inmuebles en poco tiempo sin justificación económica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[ ] Sí  [ ] No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Estructura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Uso de terceros o prestanombres para formalizar la operación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[ ] Sí  [ ] No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Beneficiario Controlador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cliente se niega a identificar a su Beneficiario Controlador o la información es inconsistente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[ ] Sí  [ ] No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PEP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cliente es PEP o tiene vínculo con PEP y no puede acreditar los fondos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[ ] Sí  [ ] No</w:t>
            </w:r>
          </w:p>
        </w:tc>
      </w:tr>
      <w:t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Contrato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cliente solicita condiciones contractuales inusuales o atípicas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[ ] Sí  [ ] No</w:t>
            </w:r>
          </w:p>
        </w:tc>
      </w:tr>
    </w:tbl>
    <w:p>
      <w:pPr>
        <w:spacing w:after="80" w:before="160"/>
      </w:pPr>
      <w:r>
        <w:rPr>
          <w:b/>
          <w:bCs/>
          <w:color w:val="B08D57"/>
          <w:sz w:val="20"/>
          <w:szCs w:val="20"/>
        </w:rPr>
        <w:t xml:space="preserve">3.2 Descripción narrativa de la situación inusual</w:t>
      </w:r>
    </w:p>
    <w:p>
      <w:pPr>
        <w:spacing w:after="120"/>
      </w:pPr>
      <w:r>
        <w:rPr>
          <w:sz w:val="20"/>
          <w:szCs w:val="20"/>
        </w:rPr>
        <w:t xml:space="preserve">[Describir con detalle los hechos, antecedentes, personas involucradas y circunstancias que hacen inusual la operación. Incluir fechas, montos, conversaciones relevantes y cualquier información de contexto.]</w:t>
      </w:r>
    </w:p>
    <w:p>
      <w:pPr>
        <w:pStyle w:val="Heading2"/>
        <w:spacing w:after="120" w:before="320"/>
      </w:pPr>
      <w:r>
        <w:t xml:space="preserve">Sección 4. Resolución y seguimiento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Acción tomada: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[ ] Se reporta al SAT   [ ] Se somete a comité/directivo (D8, Sección V si aplica)   [ ] Se rechaza la operación   [ ] Se continúa con monitoreo</w:t>
            </w:r>
          </w:p>
        </w:tc>
      </w:tr>
      <w:t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Fecha y hora de envío del Aviso al SAT: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[Fecha] — [Hora]</w:t>
            </w:r>
          </w:p>
        </w:tc>
      </w:tr>
      <w:t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¿Se cumplió el plazo de 24 horas?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[ ] Sí   [ ] No — justificar: ____</w:t>
            </w:r>
          </w:p>
        </w:tc>
      </w:tr>
      <w:t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No. de Aviso / folio SPPLD: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[Número de folio]</w:t>
            </w:r>
          </w:p>
        </w:tc>
      </w:tr>
      <w:t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 continuó la operación: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[ ] Sí    [ ] No — Motivo: ____</w:t>
            </w:r>
          </w:p>
        </w:tc>
      </w:tr>
      <w:t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Observaciones: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Firma del Representante de Cumplimiento: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Validado por (órgano de administración):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Apoyo Certus PLD: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contacto@certusconsultores.com.mx │ 999 163 1363</w:t>
            </w:r>
          </w:p>
        </w:tc>
      </w:tr>
    </w:tbl>
    <w:p>
      <w:pPr>
        <w:spacing w:after="160"/>
      </w:pP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600"/>
            <w:shd w:fill="F4CC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AVISO CONFIDENCIAL: Este reporte NO debe ser comunicado al cliente o posible involucrado bajo ningún concepto, ni debe alertarse sobre requerimientos de información relacionados u órdenes de aseguramiento antes de su ejecución. La divulgación puede constituir el delito de "tipping off" y viola el deber de confidencialidad del Art. 31 de las RCG (D5, Cap. 20).</w:t>
            </w:r>
          </w:p>
        </w:tc>
      </w:tr>
    </w:tbl>
    <w:p>
      <w:pPr>
        <w:spacing w:before="300"/>
      </w:pPr>
      <w:r>
        <w:rPr>
          <w:color w:val="888888"/>
          <w:sz w:val="16"/>
          <w:szCs w:val="16"/>
        </w:rPr>
        <w:t xml:space="preserve">Certus Consultores | Certus PLD | Mérida, Yucatán | 999 163 1363</w:t>
      </w:r>
    </w:p>
    <w:sectPr>
      <w:pgSz w:w="12240" w:h="15840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pBdr>
        <w:bottom w:val="single" w:color="B08D57" w:sz="6" w:space="4"/>
      </w:pBdr>
      <w:spacing w:after="120" w:before="260"/>
    </w:pPr>
    <w:rPr>
      <w:rFonts w:ascii="Calibri" w:cs="Calibri" w:eastAsia="Calibri" w:hAnsi="Calibri"/>
      <w:b/>
      <w:bCs/>
      <w:color w:val="1F3864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2026-08-11T14:24:51.836Z</dcterms:created>
  <dcterms:modified xsi:type="dcterms:W3CDTF">2026-08-11T14:24:51.836Z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