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D4 — Gap Analysis PLD/FT — Matriz de Brecha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Empresa: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Fecha de diagnóstico: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Evaluador: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Certus Consultores │ Certus PLD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Correo: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contacto@certusconsultores.com.mx │ Tel. 999 163 1363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Versión: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 — Actualizada conforme al Acuerdo 115/2026 (DOF 07/08/2026)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amplía la matriz de 12 a 20 rubros para incorporar las obligaciones creadas por el Acuerdo 115/2026 (DOF 07/08/2026): clasificación del Grado de Riesgo, Beneficiario Controlador, Perfil Transaccional, seguimiento y acumulación de operaciones, selección de personal, mecanismos automatizados, listas de autoridades y confidencialidad. La auditoría (rubro 17) deja de ser una recomendación y se convierte en obligación legal exigible desde el ejercicio 2028.</w:t>
      </w:r>
    </w:p>
    <w:p>
      <w:pPr>
        <w:pStyle w:val="Heading2"/>
        <w:spacing w:after="120" w:before="320"/>
      </w:pPr>
      <w:r>
        <w:t xml:space="preserve">I. Instrucciones de uso</w:t>
      </w:r>
    </w:p>
    <w:p>
      <w:pPr>
        <w:spacing w:after="120"/>
      </w:pPr>
      <w:r>
        <w:rPr>
          <w:sz w:val="20"/>
          <w:szCs w:val="20"/>
        </w:rPr>
        <w:t xml:space="preserve">Esta matriz evalúa 20 rubros de cumplimiento PLD/FT. Para cada rubro se indica: el estatus actual (Cumple / Parcial / No Cumple), el nivel de Riesgo (VERDE / AMARILLO / ROJO), la multa máxima estimada y las acciones correctivas recomendadas. Marcar con X el estatus correspondiente. Los rubros marcados con (*) son de nueva incorporación conforme al Acuerdo 115/2026.</w:t>
      </w:r>
    </w:p>
    <w:p>
      <w:pPr>
        <w:pStyle w:val="Heading2"/>
        <w:spacing w:after="120" w:before="320"/>
      </w:pPr>
      <w:r>
        <w:t xml:space="preserve">II. Matriz de brecha — 20 rubros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Rubro de cumplimiento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Ref. legal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Estatus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Semáf.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Multa est.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Registro ante SAT (Portal en Internet)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18-IV Bis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de Cumplimiento designado (persona física)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20 / Art. 10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Manual de Políticas Internas (14 rubros del Art. 37 Bis RCG)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18-VIII / Cap. X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Expedientes KYC de clientes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 y II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Metodología EBR documentada e implementada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 / Cap. II Quáter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Clasificación del Grado de Riesgo del cliente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Cap. III Bis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Identificación del Beneficiario Controlador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18-III / Cap. III Quinquies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Política de PEP's documentada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18-VIII / Cap. III Quáter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Perfil Transaccional y sistema de alertas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Cap. III 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Reportes de operaciones inusuales al SAT (Avisos 24 hrs.)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 / Art. 26 Bis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Control de Avisos mensuales SAT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23 Ley / Art. 25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Seguimiento y acumulación de actos u operaciones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19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Programa anual de capacitación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18-IX / Cap. XII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Selección de personal (declaración firmada)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39 Bis 2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Política de resguardo documental (plazos diferenciados)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18-IV / Cap. XIV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Mecanismos automatizados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41 / Cap. XIII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Auditoría anual — OBLIGATORIA a partir de 2028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18-XI / Cap. XIV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Identificación de personas en listas de autoridades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38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Confidencialidad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31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Restricción de pagos en efectivo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 = Cumple · P = Parcial · N = No cumple · V/A/R = semáforo Verde/Amarillo/Rojo. (*) = rubro de nueva incorporación conforme al Acuerdo 115/2026. Multas máximas del Art. 54 de la Ley con UMA 2026 ($117.31): 2,000 UMA = $234,620 (infracciones al Art. 18); 65,000 UMA = $7,625,150 (omisión de Avisos y operaciones prohibidas en efectivo), o 10%–100% del valor del acto si resulta mayor.</w:t>
      </w:r>
    </w:p>
    <w:p>
      <w:pPr>
        <w:pStyle w:val="Heading2"/>
        <w:spacing w:after="120" w:before="320"/>
      </w:pPr>
      <w:r>
        <w:t xml:space="preserve">III. Resumen ejecutivo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de rubros evaluados: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cumplimiento (VERDE):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cumplimiento parcial (AMARILLO):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incumplimiento (ROJO):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 los cuales, rubros nuevos por el Acuerdo 115/2026 (de 8 posibles):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Multa máxima acumulada estimada: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$[  ] MXN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Reducción posible por actuación espontánea (hasta 50%, Art. 55 Ley):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$[  ] MXN</w:t>
            </w:r>
          </w:p>
        </w:tc>
      </w:tr>
    </w:tbl>
    <w:p>
      <w:pPr>
        <w:pStyle w:val="Heading2"/>
        <w:spacing w:after="120" w:before="320"/>
      </w:pPr>
      <w:r>
        <w:t xml:space="preserve">IV. Plan de acción correctiva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Rubro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Acción correctiva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Doc. Certus PLD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Plazo sugerido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 — Registro SAT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Iniciar trámite de alta en el Portal en Internet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Legal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 — Representante Cumpl.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Convocar sesión y firmar Acta de Designación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Legal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 — Manual PLD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e implementar el Manual de Políticas Internas (23 capítulos)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 — KYC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Integrar expedientes KYC de clientes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 — EBR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Documentar la Metodología EBR ponderada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 — Grado de Riesgo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Clasificar la cartera de clientes existente en Bajo/Medio/Alto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D6 / 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— Beneficiario Controlador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Identificar y documentar el BC de clientes persona moral / fideicomiso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D7 / D14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— PEP's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Política de PEP's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 — Perfil Transaccional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el sistema de alertas y determinar el perfil inicial de cada cliente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9 / 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 — Avisos por sospecha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Ajustar el proceso interno al plazo de 24 horas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 — Control de Avisos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control de Avisos mensuales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 — Acumulación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el seguimiento de acumulación en periodos de 6 meses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 — Capacitación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Ejecutar el primer ciclo Certus PLD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 — Selección de personal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Recabar Declaración de Selección de Personal en nuevas contrataciones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D11D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partir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Recursos Humanos / Repr.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 — Resguardo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la Política de Resguardo con plazos diferenciados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— Mecanismos automatizados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Habilitar mecanismos automatizados con las 6 funciones del Art. 41 RCG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jun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 / TI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 — Auditoría anual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Agendar la auditoría anual obligatoria (interna o externa según Grado de Riesgo)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 dic 2028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Órgano de Administración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 — Listas de autoridades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Incorporar la consulta de listas de la UIF y organismos internacionales al proceso de identificación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 — Confidencialidad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Formalizar las medidas de confidencialidad en el Manual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 — Restricción de efectivo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Difundir el umbral del Art. 32 al personal de ventas y cobranza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</w:tbl>
    <w:p>
      <w:pPr>
        <w:spacing w:after="160"/>
      </w:pPr>
    </w:p>
    <w:p>
      <w:pPr>
        <w:spacing w:before="200"/>
      </w:pPr>
      <w:r>
        <w:rPr>
          <w:color w:val="888888"/>
          <w:sz w:val="16"/>
          <w:szCs w:val="16"/>
        </w:rPr>
        <w:t xml:space="preserve">Soporte técnico Certus PLD: contacto@certusconsultores.com.mx │ Tel. 999 163 1363 │ Certus Consultores │ Mérida, Yucatán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2026-08-11T14:22:09.536Z</dcterms:created>
  <dcterms:modified xsi:type="dcterms:W3CDTF">2026-08-11T14:22:09.538Z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