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70"/>
              <w:left w:type="dxa" w:w="100"/>
              <w:bottom w:type="dxa" w:w="70"/>
              <w:right w:type="dxa" w:w="100"/>
            </w:tcMar>
          </w:tcPr>
          <w:p>
            <w:r>
              <w:rPr>
                <w:b/>
                <w:bCs/>
                <w:color w:val="FFFFFF"/>
                <w:sz w:val="20"/>
                <w:szCs w:val="20"/>
              </w:rPr>
              <w:t xml:space="preserve">CERTUS PLD  |  D5 — Manual de Políticas Internas PLD/FT (Manual de Cumplimiento) — Inmobiliaria Mixta</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Mar>
              <w:top w:type="dxa" w:w="70"/>
              <w:left w:type="dxa" w:w="100"/>
              <w:bottom w:type="dxa" w:w="70"/>
              <w:right w:type="dxa" w:w="100"/>
            </w:tcMar>
          </w:tcPr>
          <w:p>
            <w:r>
              <w:rPr>
                <w:b w:val="false"/>
                <w:bCs w:val="false"/>
                <w:sz w:val="18"/>
                <w:szCs w:val="18"/>
              </w:rPr>
              <w:t xml:space="preserve">Empresa:</w:t>
            </w:r>
          </w:p>
        </w:tc>
        <w:tc>
          <w:tcPr>
            <w:tcW w:type="dxa" w:w="7400"/>
            <w:tcMar>
              <w:top w:type="dxa" w:w="70"/>
              <w:left w:type="dxa" w:w="100"/>
              <w:bottom w:type="dxa" w:w="70"/>
              <w:right w:type="dxa" w:w="100"/>
            </w:tcMar>
          </w:tcPr>
          <w:p>
            <w:r>
              <w:rPr>
                <w:b w:val="false"/>
                <w:bCs w:val="false"/>
                <w:sz w:val="18"/>
                <w:szCs w:val="18"/>
              </w:rPr>
              <w:t xml:space="preserve">[EMPRESA]</w:t>
            </w:r>
          </w:p>
        </w:tc>
      </w:tr>
      <w:tr>
        <w:tc>
          <w:tcPr>
            <w:tcW w:type="dxa" w:w="2200"/>
            <w:tcMar>
              <w:top w:type="dxa" w:w="70"/>
              <w:left w:type="dxa" w:w="100"/>
              <w:bottom w:type="dxa" w:w="70"/>
              <w:right w:type="dxa" w:w="100"/>
            </w:tcMar>
          </w:tcPr>
          <w:p>
            <w:r>
              <w:rPr>
                <w:b w:val="false"/>
                <w:bCs w:val="false"/>
                <w:sz w:val="18"/>
                <w:szCs w:val="18"/>
              </w:rPr>
              <w:t xml:space="preserve">RFC:</w:t>
            </w:r>
          </w:p>
        </w:tc>
        <w:tc>
          <w:tcPr>
            <w:tcW w:type="dxa" w:w="7400"/>
            <w:tcMar>
              <w:top w:type="dxa" w:w="70"/>
              <w:left w:type="dxa" w:w="100"/>
              <w:bottom w:type="dxa" w:w="70"/>
              <w:right w:type="dxa" w:w="100"/>
            </w:tcMar>
          </w:tcPr>
          <w:p>
            <w:r>
              <w:rPr>
                <w:b w:val="false"/>
                <w:bCs w:val="false"/>
                <w:sz w:val="18"/>
                <w:szCs w:val="18"/>
              </w:rPr>
              <w:t xml:space="preserve">[RFC_EMPRESA]</w:t>
            </w:r>
          </w:p>
        </w:tc>
      </w:tr>
      <w:tr>
        <w:tc>
          <w:tcPr>
            <w:tcW w:type="dxa" w:w="2200"/>
            <w:tcMar>
              <w:top w:type="dxa" w:w="70"/>
              <w:left w:type="dxa" w:w="100"/>
              <w:bottom w:type="dxa" w:w="70"/>
              <w:right w:type="dxa" w:w="100"/>
            </w:tcMar>
          </w:tcPr>
          <w:p>
            <w:r>
              <w:rPr>
                <w:b w:val="false"/>
                <w:bCs w:val="false"/>
                <w:sz w:val="18"/>
                <w:szCs w:val="18"/>
              </w:rPr>
              <w:t xml:space="preserve">Versión:</w:t>
            </w:r>
          </w:p>
        </w:tc>
        <w:tc>
          <w:tcPr>
            <w:tcW w:type="dxa" w:w="7400"/>
            <w:tcMar>
              <w:top w:type="dxa" w:w="70"/>
              <w:left w:type="dxa" w:w="100"/>
              <w:bottom w:type="dxa" w:w="70"/>
              <w:right w:type="dxa" w:w="100"/>
            </w:tcMar>
          </w:tcPr>
          <w:p>
            <w:r>
              <w:rPr>
                <w:b w:val="false"/>
                <w:bCs w:val="false"/>
                <w:sz w:val="18"/>
                <w:szCs w:val="18"/>
              </w:rPr>
              <w:t xml:space="preserve">2.0 — Actualizada conforme al Acuerdo 115/2026 (DOF 07/08/2026) — [Fecha de adopción]</w:t>
            </w:r>
          </w:p>
        </w:tc>
      </w:tr>
      <w:tr>
        <w:tc>
          <w:tcPr>
            <w:tcW w:type="dxa" w:w="2200"/>
            <w:tcMar>
              <w:top w:type="dxa" w:w="70"/>
              <w:left w:type="dxa" w:w="100"/>
              <w:bottom w:type="dxa" w:w="70"/>
              <w:right w:type="dxa" w:w="100"/>
            </w:tcMar>
          </w:tcPr>
          <w:p>
            <w:r>
              <w:rPr>
                <w:b w:val="false"/>
                <w:bCs w:val="false"/>
                <w:sz w:val="18"/>
                <w:szCs w:val="18"/>
              </w:rPr>
              <w:t xml:space="preserve">Aprobado por:</w:t>
            </w:r>
          </w:p>
        </w:tc>
        <w:tc>
          <w:tcPr>
            <w:tcW w:type="dxa" w:w="7400"/>
            <w:tcMar>
              <w:top w:type="dxa" w:w="70"/>
              <w:left w:type="dxa" w:w="100"/>
              <w:bottom w:type="dxa" w:w="70"/>
              <w:right w:type="dxa" w:w="100"/>
            </w:tcMar>
          </w:tcPr>
          <w:p>
            <w:r>
              <w:rPr>
                <w:b w:val="false"/>
                <w:bCs w:val="false"/>
                <w:sz w:val="18"/>
                <w:szCs w:val="18"/>
              </w:rPr>
              <w:t xml:space="preserve">[Órgano de administración]</w:t>
            </w:r>
          </w:p>
        </w:tc>
      </w:tr>
      <w:tr>
        <w:tc>
          <w:tcPr>
            <w:tcW w:type="dxa" w:w="2200"/>
            <w:tcMar>
              <w:top w:type="dxa" w:w="70"/>
              <w:left w:type="dxa" w:w="100"/>
              <w:bottom w:type="dxa" w:w="70"/>
              <w:right w:type="dxa" w:w="100"/>
            </w:tcMar>
          </w:tcPr>
          <w:p>
            <w:r>
              <w:rPr>
                <w:b w:val="false"/>
                <w:bCs w:val="false"/>
                <w:sz w:val="18"/>
                <w:szCs w:val="18"/>
              </w:rPr>
              <w:t xml:space="preserve">Elaboró:</w:t>
            </w:r>
          </w:p>
        </w:tc>
        <w:tc>
          <w:tcPr>
            <w:tcW w:type="dxa" w:w="7400"/>
            <w:tcMar>
              <w:top w:type="dxa" w:w="70"/>
              <w:left w:type="dxa" w:w="100"/>
              <w:bottom w:type="dxa" w:w="70"/>
              <w:right w:type="dxa" w:w="100"/>
            </w:tcMar>
          </w:tcPr>
          <w:p>
            <w:r>
              <w:rPr>
                <w:b w:val="false"/>
                <w:bCs w:val="false"/>
                <w:sz w:val="18"/>
                <w:szCs w:val="18"/>
              </w:rPr>
              <w:t xml:space="preserve">Certus Consultores │ Certus PLD</w:t>
            </w:r>
          </w:p>
        </w:tc>
      </w:tr>
      <w:tr>
        <w:tc>
          <w:tcPr>
            <w:tcW w:type="dxa" w:w="2200"/>
            <w:tcMar>
              <w:top w:type="dxa" w:w="70"/>
              <w:left w:type="dxa" w:w="100"/>
              <w:bottom w:type="dxa" w:w="70"/>
              <w:right w:type="dxa" w:w="100"/>
            </w:tcMar>
          </w:tcPr>
          <w:p>
            <w:r>
              <w:rPr>
                <w:b w:val="false"/>
                <w:bCs w:val="false"/>
                <w:sz w:val="18"/>
                <w:szCs w:val="18"/>
              </w:rPr>
              <w:t xml:space="preserve">Contacto:</w:t>
            </w:r>
          </w:p>
        </w:tc>
        <w:tc>
          <w:tcPr>
            <w:tcW w:type="dxa" w:w="7400"/>
            <w:tcMar>
              <w:top w:type="dxa" w:w="70"/>
              <w:left w:type="dxa" w:w="100"/>
              <w:bottom w:type="dxa" w:w="70"/>
              <w:right w:type="dxa" w:w="100"/>
            </w:tcMar>
          </w:tcPr>
          <w:p>
            <w:r>
              <w:rPr>
                <w:b w:val="false"/>
                <w:bCs w:val="false"/>
                <w:sz w:val="18"/>
                <w:szCs w:val="18"/>
              </w:rPr>
              <w:t xml:space="preserve">contacto@certusconsultores.com.mx │ 999 163 1363</w:t>
            </w:r>
          </w:p>
        </w:tc>
      </w:tr>
      <w:tr>
        <w:tc>
          <w:tcPr>
            <w:tcW w:type="dxa" w:w="2200"/>
            <w:tcMar>
              <w:top w:type="dxa" w:w="70"/>
              <w:left w:type="dxa" w:w="100"/>
              <w:bottom w:type="dxa" w:w="70"/>
              <w:right w:type="dxa" w:w="100"/>
            </w:tcMar>
          </w:tcPr>
          <w:p>
            <w:r>
              <w:rPr>
                <w:b w:val="false"/>
                <w:bCs w:val="false"/>
                <w:sz w:val="18"/>
                <w:szCs w:val="18"/>
              </w:rPr>
              <w:t xml:space="preserve">Vigencia:</w:t>
            </w:r>
          </w:p>
        </w:tc>
        <w:tc>
          <w:tcPr>
            <w:tcW w:type="dxa" w:w="7400"/>
            <w:tcMar>
              <w:top w:type="dxa" w:w="70"/>
              <w:left w:type="dxa" w:w="100"/>
              <w:bottom w:type="dxa" w:w="70"/>
              <w:right w:type="dxa" w:w="100"/>
            </w:tcMar>
          </w:tcPr>
          <w:p>
            <w:r>
              <w:rPr>
                <w:b w:val="false"/>
                <w:bCs w:val="false"/>
                <w:sz w:val="18"/>
                <w:szCs w:val="18"/>
              </w:rPr>
              <w:t xml:space="preserve">Un año a partir de la fecha de adopción — revisión anual obligatoria y cada vez que se reformen la Ley, el Reglamento o las Reglas de Carácter General</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las obligaciones creadas por el Acuerdo 115/2026, que reforma las Reglas de Carácter General (RCG) de la LFPIORPI, publicado en el DOF el 07/08/2026, en vigor a partir del 30/11/2026. La clasificación de Grado de Riesgo, la política de conocimiento del cliente y la identificación del Beneficiario Controlador (Capítulos III Bis, III Ter y III Quinquies de las RCG) son exigibles a partir del 1 de marzo de 2027; la auditoría anual obligatoria (Capítulo XIV de las RCG) aplica desde el ejercicio 2028.</w:t>
      </w:r>
    </w:p>
    <w:p>
      <w:pPr>
        <w:pStyle w:val="Heading2"/>
        <w:spacing w:after="120" w:before="320"/>
      </w:pPr>
      <w:r>
        <w:t xml:space="preserve">Índice de capítulos</w:t>
      </w:r>
    </w:p>
    <w:p>
      <w:pPr>
        <w:spacing w:after="300"/>
      </w:pPr>
      <w:r>
        <w:rPr>
          <w:i/>
          <w:iCs/>
          <w:sz w:val="18"/>
          <w:szCs w:val="18"/>
        </w:rPr>
        <w:t xml:space="preserve">1. Introducción y marco normativo  |  2. Objeto y alcance  |  3. Organización y responsabilidades  |  4. Identificación y conocimiento del cliente (KYC)  |  5. Enfoque Basado en Riesgo (EBR) y clasificación del Grado de Riesgo  |  6. Medidas de debida diligencia según el Grado de Riesgo  |  7. Identificación del Beneficiario Controlador  |  8. Personas Políticamente Expuestas (PEP's)  |  9. Perfil transaccional y sistema de alertas  |  10. Operaciones inusuales y relevantes  |  11. Restricción de pagos en efectivo  |  12. Presentación de Avisos e Informes ante el SAT  |  13. Seguimiento y acumulación de actos u operaciones  |  14. Resguardo documental  |  15. Identificación de personas en listas de autoridades  |  16. Criterios para apertura, limitación y terminación de relaciones comerciales  |  17. Capacitación y selección del personal  |  18. Mecanismos automatizados  |  19. Auditoría anual  |  20. Confidencialidad  |  21. Sanciones aplicables  |  22. Actualización del Manual  |  23. Glosario</w:t>
      </w:r>
    </w:p>
    <w:p>
      <w:pPr>
        <w:pStyle w:val="Heading2"/>
        <w:spacing w:after="120" w:before="320"/>
      </w:pPr>
      <w:r>
        <w:t xml:space="preserve">Capítulo 1. Introducción y marco normativo</w:t>
      </w:r>
    </w:p>
    <w:p>
      <w:pPr>
        <w:spacing w:after="120"/>
      </w:pPr>
      <w:r>
        <w:rPr>
          <w:sz w:val="20"/>
          <w:szCs w:val="20"/>
        </w:rPr>
        <w:t xml:space="preserve">El presente Manual de Políticas Internas en materia de PLD/FT ("Manual") es adoptado por [EMPRESA] en cumplimiento de las obligaciones establecidas en la LFPIORPI, su Reglamento y las Reglas de Carácter General (RCG) emitidas por la SHCP. Ha sido desarrollado por Certus Consultores a través del Programa Certus PLD, diseñado específicamente para inmobiliarias sujetas a las fracciones V, V Bis y XV del artículo 17 de la LFPIORPI.</w:t>
      </w:r>
    </w:p>
    <w:p>
      <w:pPr>
        <w:spacing w:after="80" w:before="160"/>
      </w:pPr>
      <w:r>
        <w:rPr>
          <w:b/>
          <w:bCs/>
          <w:color w:val="B08D57"/>
          <w:sz w:val="21"/>
          <w:szCs w:val="21"/>
        </w:rPr>
        <w:t xml:space="preserve">1.1 Base legal</w:t>
      </w:r>
    </w:p>
    <w:p>
      <w:pPr>
        <w:pStyle w:val="ListParagraph"/>
        <w:numPr>
          <w:ilvl w:val="0"/>
          <w:numId w:val="1"/>
        </w:numPr>
        <w:spacing w:after="60"/>
      </w:pPr>
      <w:r>
        <w:rPr>
          <w:sz w:val="20"/>
          <w:szCs w:val="20"/>
        </w:rPr>
        <w:t xml:space="preserve">LFPIORPI — reforma DOF 16 de julio de 2025 (vigente desde 17 de julio de 2025)</w:t>
      </w:r>
    </w:p>
    <w:p>
      <w:pPr>
        <w:pStyle w:val="ListParagraph"/>
        <w:numPr>
          <w:ilvl w:val="0"/>
          <w:numId w:val="1"/>
        </w:numPr>
        <w:spacing w:after="60"/>
      </w:pPr>
      <w:r>
        <w:rPr>
          <w:sz w:val="20"/>
          <w:szCs w:val="20"/>
        </w:rPr>
        <w:t xml:space="preserve">Reglamento de la LFPIORPI — reforma DOF 27 de marzo de 2026</w:t>
      </w:r>
    </w:p>
    <w:p>
      <w:pPr>
        <w:pStyle w:val="ListParagraph"/>
        <w:numPr>
          <w:ilvl w:val="0"/>
          <w:numId w:val="1"/>
        </w:numPr>
        <w:spacing w:after="60"/>
      </w:pPr>
      <w:r>
        <w:rPr>
          <w:sz w:val="20"/>
          <w:szCs w:val="20"/>
        </w:rPr>
        <w:t xml:space="preserve">Reglas de Carácter General emitidas por la SHCP en materia PLD/FT, y su reforma mediante el Acuerdo 115/2026 (DOF 07/08/2026, en vigor 30/11/2026)</w:t>
      </w:r>
    </w:p>
    <w:p>
      <w:pPr>
        <w:pStyle w:val="ListParagraph"/>
        <w:numPr>
          <w:ilvl w:val="0"/>
          <w:numId w:val="1"/>
        </w:numPr>
        <w:spacing w:after="60"/>
      </w:pPr>
      <w:r>
        <w:rPr>
          <w:sz w:val="20"/>
          <w:szCs w:val="20"/>
        </w:rPr>
        <w:t xml:space="preserve">Fracciones aplicables: V (compraventa e intermediación), V Bis (desarrollo y preventas), XV (arrendamiento)</w:t>
      </w:r>
    </w:p>
    <w:p>
      <w:pPr>
        <w:spacing w:after="160" w:before="60"/>
      </w:pPr>
      <w:r>
        <w:rPr>
          <w:i/>
          <w:iCs/>
          <w:color w:val="666666"/>
          <w:sz w:val="19"/>
          <w:szCs w:val="19"/>
        </w:rPr>
        <w:t xml:space="preserve">El Acuerdo 115/2026 amplía las definiciones legales aplicables (Art. 3 RCG): Evaluación Nacional de Riesgos, Firma Electrónica, Grado de Riesgo, Manual de Políticas Internas, Mecanismos Automatizados, Mensaje de Datos, Mitigantes y Perfil Transaccional. Ver Capítulo 23 (Glosario).</w:t>
      </w:r>
    </w:p>
    <w:p>
      <w:pPr>
        <w:pStyle w:val="Heading2"/>
        <w:spacing w:after="120" w:before="320"/>
      </w:pPr>
      <w:r>
        <w:t xml:space="preserve">Capítulo 2. Objeto y alcance</w:t>
      </w:r>
    </w:p>
    <w:p>
      <w:pPr>
        <w:spacing w:after="120"/>
      </w:pPr>
      <w:r>
        <w:rPr>
          <w:sz w:val="20"/>
          <w:szCs w:val="20"/>
        </w:rPr>
        <w:t xml:space="preserve">Este Manual tiene por objeto establecer los criterios, medidas y procedimientos internos que la empresa adopta para dar cumplimiento a la Ley, su Reglamento y las Reglas de Carácter General vigentes, y para gestionar los Riesgos a los que está expuesta conforme a los resultados de la metodología de Enfoque Basado en Riesgos (EBR) del Documento D6 del Programa Certus PLD.</w:t>
      </w:r>
    </w:p>
    <w:p>
      <w:pPr>
        <w:spacing w:after="80" w:before="160"/>
      </w:pPr>
      <w:r>
        <w:rPr>
          <w:b/>
          <w:bCs/>
          <w:color w:val="B08D57"/>
          <w:sz w:val="21"/>
          <w:szCs w:val="21"/>
        </w:rPr>
        <w:t xml:space="preserve">2.1 Alcance</w:t>
      </w:r>
    </w:p>
    <w:p>
      <w:pPr>
        <w:pStyle w:val="ListParagraph"/>
        <w:numPr>
          <w:ilvl w:val="0"/>
          <w:numId w:val="1"/>
        </w:numPr>
        <w:spacing w:after="60"/>
      </w:pPr>
      <w:r>
        <w:rPr>
          <w:sz w:val="20"/>
          <w:szCs w:val="20"/>
        </w:rPr>
        <w:t xml:space="preserve">Órgano de administración (Consejo de Administración / Administrador Único)</w:t>
      </w:r>
    </w:p>
    <w:p>
      <w:pPr>
        <w:pStyle w:val="ListParagraph"/>
        <w:numPr>
          <w:ilvl w:val="0"/>
          <w:numId w:val="1"/>
        </w:numPr>
        <w:spacing w:after="60"/>
      </w:pPr>
      <w:r>
        <w:rPr>
          <w:sz w:val="20"/>
          <w:szCs w:val="20"/>
        </w:rPr>
        <w:t xml:space="preserve">Representante Encargado de Cumplimiento PLD/FT</w:t>
      </w:r>
    </w:p>
    <w:p>
      <w:pPr>
        <w:pStyle w:val="ListParagraph"/>
        <w:numPr>
          <w:ilvl w:val="0"/>
          <w:numId w:val="1"/>
        </w:numPr>
        <w:spacing w:after="60"/>
      </w:pPr>
      <w:r>
        <w:rPr>
          <w:sz w:val="20"/>
          <w:szCs w:val="20"/>
        </w:rPr>
        <w:t xml:space="preserve">Área de Ventas y Preventas</w:t>
      </w:r>
    </w:p>
    <w:p>
      <w:pPr>
        <w:pStyle w:val="ListParagraph"/>
        <w:numPr>
          <w:ilvl w:val="0"/>
          <w:numId w:val="1"/>
        </w:numPr>
        <w:spacing w:after="60"/>
      </w:pPr>
      <w:r>
        <w:rPr>
          <w:sz w:val="20"/>
          <w:szCs w:val="20"/>
        </w:rPr>
        <w:t xml:space="preserve">Área de Arrendamiento</w:t>
      </w:r>
    </w:p>
    <w:p>
      <w:pPr>
        <w:pStyle w:val="ListParagraph"/>
        <w:numPr>
          <w:ilvl w:val="0"/>
          <w:numId w:val="1"/>
        </w:numPr>
        <w:spacing w:after="60"/>
      </w:pPr>
      <w:r>
        <w:rPr>
          <w:sz w:val="20"/>
          <w:szCs w:val="20"/>
        </w:rPr>
        <w:t xml:space="preserve">Área de Desarrollo y Proyectos</w:t>
      </w:r>
    </w:p>
    <w:p>
      <w:pPr>
        <w:pStyle w:val="ListParagraph"/>
        <w:numPr>
          <w:ilvl w:val="0"/>
          <w:numId w:val="1"/>
        </w:numPr>
        <w:spacing w:after="60"/>
      </w:pPr>
      <w:r>
        <w:rPr>
          <w:sz w:val="20"/>
          <w:szCs w:val="20"/>
        </w:rPr>
        <w:t xml:space="preserve">Toda persona que en nombre de la empresa celebre contratos con Clientes o Usuarias, participe en su identificación, en el envío de Avisos o en labores de auditoría</w:t>
      </w:r>
    </w:p>
    <w:p>
      <w:pPr>
        <w:pStyle w:val="Heading2"/>
        <w:spacing w:after="120" w:before="320"/>
      </w:pPr>
      <w:r>
        <w:t xml:space="preserve">Capítulo 3. Organización y responsabilidades</w:t>
      </w:r>
    </w:p>
    <w:p>
      <w:pPr>
        <w:spacing w:after="80" w:before="160"/>
      </w:pPr>
      <w:r>
        <w:rPr>
          <w:b/>
          <w:bCs/>
          <w:color w:val="B08D57"/>
          <w:sz w:val="21"/>
          <w:szCs w:val="21"/>
        </w:rPr>
        <w:t xml:space="preserve">3.1 Representante Encargado de Cumplimiento</w:t>
      </w:r>
    </w:p>
    <w:p>
      <w:pPr>
        <w:pStyle w:val="ListParagraph"/>
        <w:numPr>
          <w:ilvl w:val="0"/>
          <w:numId w:val="1"/>
        </w:numPr>
        <w:spacing w:after="60"/>
      </w:pPr>
      <w:r>
        <w:rPr>
          <w:sz w:val="20"/>
          <w:szCs w:val="20"/>
        </w:rPr>
        <w:t xml:space="preserve">Debe ser, en todo caso, una persona física (Art. 10 RCG)</w:t>
      </w:r>
    </w:p>
    <w:p>
      <w:pPr>
        <w:pStyle w:val="ListParagraph"/>
        <w:numPr>
          <w:ilvl w:val="0"/>
          <w:numId w:val="1"/>
        </w:numPr>
        <w:spacing w:after="60"/>
      </w:pPr>
      <w:r>
        <w:rPr>
          <w:sz w:val="20"/>
          <w:szCs w:val="20"/>
        </w:rPr>
        <w:t xml:space="preserve">Supervisar el cumplimiento de este Manual</w:t>
      </w:r>
    </w:p>
    <w:p>
      <w:pPr>
        <w:pStyle w:val="ListParagraph"/>
        <w:numPr>
          <w:ilvl w:val="0"/>
          <w:numId w:val="1"/>
        </w:numPr>
        <w:spacing w:after="60"/>
      </w:pPr>
      <w:r>
        <w:rPr>
          <w:sz w:val="20"/>
          <w:szCs w:val="20"/>
        </w:rPr>
        <w:t xml:space="preserve">Presentar los Avisos e Informes ante la UIF por conducto del SAT a través del Portal en Internet</w:t>
      </w:r>
    </w:p>
    <w:p>
      <w:pPr>
        <w:pStyle w:val="ListParagraph"/>
        <w:numPr>
          <w:ilvl w:val="0"/>
          <w:numId w:val="1"/>
        </w:numPr>
        <w:spacing w:after="60"/>
      </w:pPr>
      <w:r>
        <w:rPr>
          <w:sz w:val="20"/>
          <w:szCs w:val="20"/>
        </w:rPr>
        <w:t xml:space="preserve">Mantener actualizados los expedientes de identificación (KYC) de Clientes o Usuarias</w:t>
      </w:r>
    </w:p>
    <w:p>
      <w:pPr>
        <w:pStyle w:val="ListParagraph"/>
        <w:numPr>
          <w:ilvl w:val="0"/>
          <w:numId w:val="1"/>
        </w:numPr>
        <w:spacing w:after="60"/>
      </w:pPr>
      <w:r>
        <w:rPr>
          <w:sz w:val="20"/>
          <w:szCs w:val="20"/>
        </w:rPr>
        <w:t xml:space="preserve">Coordinar los programas de capacitación Certus PLD</w:t>
      </w:r>
    </w:p>
    <w:p>
      <w:pPr>
        <w:pStyle w:val="ListParagraph"/>
        <w:numPr>
          <w:ilvl w:val="0"/>
          <w:numId w:val="1"/>
        </w:numPr>
        <w:spacing w:after="60"/>
      </w:pPr>
      <w:r>
        <w:rPr>
          <w:sz w:val="20"/>
          <w:szCs w:val="20"/>
        </w:rPr>
        <w:t xml:space="preserve">Reportar al órgano de administración el estado del programa de cumplimiento</w:t>
      </w:r>
    </w:p>
    <w:p>
      <w:pPr>
        <w:spacing w:after="80" w:before="160"/>
      </w:pPr>
      <w:r>
        <w:rPr>
          <w:b/>
          <w:bCs/>
          <w:color w:val="B08D57"/>
          <w:sz w:val="21"/>
          <w:szCs w:val="21"/>
        </w:rPr>
        <w:t xml:space="preserve">3.2 Selección de personal</w:t>
      </w:r>
    </w:p>
    <w:p>
      <w:pPr>
        <w:spacing w:after="120"/>
      </w:pPr>
      <w:r>
        <w:rPr>
          <w:sz w:val="20"/>
          <w:szCs w:val="20"/>
        </w:rPr>
        <w:t xml:space="preserve">La empresa establecerá procedimientos de selección que garanticen que su personal cuenta con la calidad técnica, experiencia y honorabilidad necesarias (Art. 39 Bis 2 RCG). De cada funcionario o empleado que labore en áreas de atención al público, identificación de clientes, envío de Avisos o auditoría, se obtendrá una declaración firmada en la que conste, al menos, su historial laboral previo en sectores sujetos a la Ley y que no ha sido sentenciado por delitos patrimoniales ni inhabilitado para el comercio o el servicio público. Este requisito aplica a las contrataciones realizadas a partir del 1 de marzo de 2027.</w:t>
      </w:r>
    </w:p>
    <w:p>
      <w:pPr>
        <w:spacing w:after="160" w:before="60"/>
      </w:pPr>
      <w:r>
        <w:rPr>
          <w:i/>
          <w:iCs/>
          <w:color w:val="666666"/>
          <w:sz w:val="19"/>
          <w:szCs w:val="19"/>
        </w:rPr>
        <w:t xml:space="preserve">Ver Declaración de Selección de Personal (formato Certus PLD).</w:t>
      </w:r>
    </w:p>
    <w:p>
      <w:pPr>
        <w:pStyle w:val="Heading2"/>
        <w:spacing w:after="120" w:before="320"/>
      </w:pPr>
      <w:r>
        <w:t xml:space="preserve">Capítulo 4. Identificación y conocimiento del cliente (KYC)</w:t>
      </w:r>
    </w:p>
    <w:p>
      <w:pPr>
        <w:spacing w:after="80" w:before="160"/>
      </w:pPr>
      <w:r>
        <w:rPr>
          <w:b/>
          <w:bCs/>
          <w:color w:val="B08D57"/>
          <w:sz w:val="21"/>
          <w:szCs w:val="21"/>
        </w:rPr>
        <w:t xml:space="preserve">4.1 Principio conozca a su cliente</w:t>
      </w:r>
    </w:p>
    <w:p>
      <w:pPr>
        <w:spacing w:after="120"/>
      </w:pPr>
      <w:r>
        <w:rPr>
          <w:sz w:val="20"/>
          <w:szCs w:val="20"/>
        </w:rPr>
        <w:t xml:space="preserve">Toda persona que celebre una operación con la empresa deberá ser identificada antes de la formalización de cualquier contrato. Se integra un expediente único de identificación conforme al Documento D7 del Programa Certus PLD.</w:t>
      </w:r>
    </w:p>
    <w:p>
      <w:pPr>
        <w:spacing w:after="80" w:before="160"/>
      </w:pPr>
      <w:r>
        <w:rPr>
          <w:b/>
          <w:bCs/>
          <w:color w:val="B08D57"/>
          <w:sz w:val="21"/>
          <w:szCs w:val="21"/>
        </w:rPr>
        <w:t xml:space="preserve">4.2 Umbrales de identificación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Fracción LFPIORPI</w:t>
            </w:r>
          </w:p>
        </w:tc>
        <w:tc>
          <w:tcPr>
            <w:tcW w:type="dxa" w:w="3200"/>
            <w:shd w:fill="1F3864" w:val="clear"/>
            <w:tcMar>
              <w:top w:type="dxa" w:w="70"/>
              <w:left w:type="dxa" w:w="100"/>
              <w:bottom w:type="dxa" w:w="70"/>
              <w:right w:type="dxa" w:w="100"/>
            </w:tcMar>
          </w:tcPr>
          <w:p>
            <w:r>
              <w:rPr>
                <w:b/>
                <w:bCs/>
                <w:color w:val="FFFFFF"/>
                <w:sz w:val="18"/>
                <w:szCs w:val="18"/>
              </w:rPr>
              <w:t xml:space="preserve">Actividad</w:t>
            </w:r>
          </w:p>
        </w:tc>
        <w:tc>
          <w:tcPr>
            <w:tcW w:type="dxa" w:w="2200"/>
            <w:shd w:fill="1F3864" w:val="clear"/>
            <w:tcMar>
              <w:top w:type="dxa" w:w="70"/>
              <w:left w:type="dxa" w:w="100"/>
              <w:bottom w:type="dxa" w:w="70"/>
              <w:right w:type="dxa" w:w="100"/>
            </w:tcMar>
          </w:tcPr>
          <w:p>
            <w:r>
              <w:rPr>
                <w:b/>
                <w:bCs/>
                <w:color w:val="FFFFFF"/>
                <w:sz w:val="18"/>
                <w:szCs w:val="18"/>
              </w:rPr>
              <w:t xml:space="preserve">Umbral de identificación</w:t>
            </w:r>
          </w:p>
        </w:tc>
        <w:tc>
          <w:tcPr>
            <w:tcW w:type="dxa" w:w="2200"/>
            <w:shd w:fill="1F3864" w:val="clear"/>
            <w:tcMar>
              <w:top w:type="dxa" w:w="70"/>
              <w:left w:type="dxa" w:w="100"/>
              <w:bottom w:type="dxa" w:w="70"/>
              <w:right w:type="dxa" w:w="100"/>
            </w:tcMar>
          </w:tcPr>
          <w:p>
            <w:r>
              <w:rPr>
                <w:b/>
                <w:bCs/>
                <w:color w:val="FFFFFF"/>
                <w:sz w:val="18"/>
                <w:szCs w:val="18"/>
              </w:rPr>
              <w:t xml:space="preserve">Umbral de Aviso al SAT</w:t>
            </w:r>
          </w:p>
        </w:tc>
      </w:tr>
      <w:tr>
        <w:tc>
          <w:tcPr>
            <w:tcW w:type="dxa" w:w="2200"/>
            <w:tcMar>
              <w:top w:type="dxa" w:w="70"/>
              <w:left w:type="dxa" w:w="100"/>
              <w:bottom w:type="dxa" w:w="70"/>
              <w:right w:type="dxa" w:w="100"/>
            </w:tcMar>
          </w:tcPr>
          <w:p>
            <w:r>
              <w:rPr>
                <w:b w:val="false"/>
                <w:bCs w:val="false"/>
                <w:sz w:val="18"/>
                <w:szCs w:val="18"/>
              </w:rPr>
              <w:t xml:space="preserve">V</w:t>
            </w:r>
          </w:p>
        </w:tc>
        <w:tc>
          <w:tcPr>
            <w:tcW w:type="dxa" w:w="3200"/>
            <w:tcMar>
              <w:top w:type="dxa" w:w="70"/>
              <w:left w:type="dxa" w:w="100"/>
              <w:bottom w:type="dxa" w:w="70"/>
              <w:right w:type="dxa" w:w="100"/>
            </w:tcMar>
          </w:tcPr>
          <w:p>
            <w:r>
              <w:rPr>
                <w:b w:val="false"/>
                <w:bCs w:val="false"/>
                <w:sz w:val="18"/>
                <w:szCs w:val="18"/>
              </w:rPr>
              <w:t xml:space="preserve">Compraventa / intermediación</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V Bis</w:t>
            </w:r>
          </w:p>
        </w:tc>
        <w:tc>
          <w:tcPr>
            <w:tcW w:type="dxa" w:w="3200"/>
            <w:tcMar>
              <w:top w:type="dxa" w:w="70"/>
              <w:left w:type="dxa" w:w="100"/>
              <w:bottom w:type="dxa" w:w="70"/>
              <w:right w:type="dxa" w:w="100"/>
            </w:tcMar>
          </w:tcPr>
          <w:p>
            <w:r>
              <w:rPr>
                <w:b w:val="false"/>
                <w:bCs w:val="false"/>
                <w:sz w:val="18"/>
                <w:szCs w:val="18"/>
              </w:rPr>
              <w:t xml:space="preserve">Desarrollo / Preventas</w:t>
            </w:r>
          </w:p>
        </w:tc>
        <w:tc>
          <w:tcPr>
            <w:tcW w:type="dxa" w:w="2200"/>
            <w:tcMar>
              <w:top w:type="dxa" w:w="70"/>
              <w:left w:type="dxa" w:w="100"/>
              <w:bottom w:type="dxa" w:w="70"/>
              <w:right w:type="dxa" w:w="100"/>
            </w:tcMar>
          </w:tcPr>
          <w:p>
            <w:r>
              <w:rPr>
                <w:b w:val="false"/>
                <w:bCs w:val="false"/>
                <w:sz w:val="18"/>
                <w:szCs w:val="18"/>
              </w:rPr>
              <w:t xml:space="preserve">SIEMPRE</w:t>
            </w:r>
          </w:p>
        </w:tc>
        <w:tc>
          <w:tcPr>
            <w:tcW w:type="dxa" w:w="2200"/>
            <w:tcMar>
              <w:top w:type="dxa" w:w="70"/>
              <w:left w:type="dxa" w:w="100"/>
              <w:bottom w:type="dxa" w:w="70"/>
              <w:right w:type="dxa" w:w="100"/>
            </w:tcMar>
          </w:tcPr>
          <w:p>
            <w:r>
              <w:rPr>
                <w:b w:val="false"/>
                <w:bCs w:val="false"/>
                <w:sz w:val="18"/>
                <w:szCs w:val="18"/>
              </w:rPr>
              <w:t xml:space="preserve">8,025 UMA (~$941,413 MXN)</w:t>
            </w:r>
          </w:p>
        </w:tc>
      </w:tr>
      <w:tr>
        <w:tc>
          <w:tcPr>
            <w:tcW w:type="dxa" w:w="2200"/>
            <w:tcMar>
              <w:top w:type="dxa" w:w="70"/>
              <w:left w:type="dxa" w:w="100"/>
              <w:bottom w:type="dxa" w:w="70"/>
              <w:right w:type="dxa" w:w="100"/>
            </w:tcMar>
          </w:tcPr>
          <w:p>
            <w:r>
              <w:rPr>
                <w:b w:val="false"/>
                <w:bCs w:val="false"/>
                <w:sz w:val="18"/>
                <w:szCs w:val="18"/>
              </w:rPr>
              <w:t xml:space="preserve">XV</w:t>
            </w:r>
          </w:p>
        </w:tc>
        <w:tc>
          <w:tcPr>
            <w:tcW w:type="dxa" w:w="3200"/>
            <w:tcMar>
              <w:top w:type="dxa" w:w="70"/>
              <w:left w:type="dxa" w:w="100"/>
              <w:bottom w:type="dxa" w:w="70"/>
              <w:right w:type="dxa" w:w="100"/>
            </w:tcMar>
          </w:tcPr>
          <w:p>
            <w:r>
              <w:rPr>
                <w:b w:val="false"/>
                <w:bCs w:val="false"/>
                <w:sz w:val="18"/>
                <w:szCs w:val="18"/>
              </w:rPr>
              <w:t xml:space="preserve">Arrendamiento</w:t>
            </w:r>
          </w:p>
        </w:tc>
        <w:tc>
          <w:tcPr>
            <w:tcW w:type="dxa" w:w="2200"/>
            <w:tcMar>
              <w:top w:type="dxa" w:w="70"/>
              <w:left w:type="dxa" w:w="100"/>
              <w:bottom w:type="dxa" w:w="70"/>
              <w:right w:type="dxa" w:w="100"/>
            </w:tcMar>
          </w:tcPr>
          <w:p>
            <w:r>
              <w:rPr>
                <w:b w:val="false"/>
                <w:bCs w:val="false"/>
                <w:sz w:val="18"/>
                <w:szCs w:val="18"/>
              </w:rPr>
              <w:t xml:space="preserve">1,605 UMA (~$188,283 MXN/mes)</w:t>
            </w:r>
          </w:p>
        </w:tc>
        <w:tc>
          <w:tcPr>
            <w:tcW w:type="dxa" w:w="2200"/>
            <w:tcMar>
              <w:top w:type="dxa" w:w="70"/>
              <w:left w:type="dxa" w:w="100"/>
              <w:bottom w:type="dxa" w:w="70"/>
              <w:right w:type="dxa" w:w="100"/>
            </w:tcMar>
          </w:tcPr>
          <w:p>
            <w:r>
              <w:rPr>
                <w:b w:val="false"/>
                <w:bCs w:val="false"/>
                <w:sz w:val="18"/>
                <w:szCs w:val="18"/>
              </w:rPr>
              <w:t xml:space="preserve">3,210 UMA (~$376,565 MXN/mes)</w:t>
            </w:r>
          </w:p>
        </w:tc>
      </w:tr>
    </w:tbl>
    <w:p>
      <w:pPr>
        <w:spacing w:after="80" w:before="160"/>
      </w:pPr>
      <w:r>
        <w:rPr>
          <w:b/>
          <w:bCs/>
          <w:color w:val="B08D57"/>
          <w:sz w:val="21"/>
          <w:szCs w:val="21"/>
        </w:rPr>
        <w:t xml:space="preserve">4.3 Política de conocimiento del cliente</w:t>
      </w:r>
    </w:p>
    <w:p>
      <w:pPr>
        <w:spacing w:after="120"/>
      </w:pPr>
      <w:r>
        <w:rPr>
          <w:sz w:val="20"/>
          <w:szCs w:val="20"/>
        </w:rPr>
        <w:t xml:space="preserve">Conforme al Capítulo III Ter de las RCG, la empresa mantiene una política de conocimiento de Clientes o Usuarias que incluye los criterios para determinar y actualizar su Perfil Transaccional (Capítulo 9), los criterios para establecer y modificar su Grado de Riesgo (Capítulo 5), y los procedimientos de seguimiento y monitoreo de sus actos u operaciones.</w:t>
      </w:r>
    </w:p>
    <w:p>
      <w:pPr>
        <w:pStyle w:val="Heading2"/>
        <w:spacing w:after="120" w:before="320"/>
      </w:pPr>
      <w:r>
        <w:t xml:space="preserve">Capítulo 5. Enfoque Basado en Riesgo (EBR) y clasificación del Grado de Riesgo</w:t>
      </w:r>
    </w:p>
    <w:p>
      <w:pPr>
        <w:spacing w:after="120"/>
      </w:pPr>
      <w:r>
        <w:rPr>
          <w:sz w:val="20"/>
          <w:szCs w:val="20"/>
        </w:rPr>
        <w:t xml:space="preserve">La empresa diseña e implementa una metodología de evaluación de Riesgos conforme al Capítulo II Quáter de las RCG (Art. 10 Septies), documentada en el Documento D6 del Programa Certus PLD. La metodología identifica indicadores de Riesgo por tipo de acto u operación, tipo de cliente, país o área geográfica y canal de envío o distribución; asigna valores a cada indicador; identifica los Mitigantes ya implementados; e incluye indicadores específicos vinculados a los delitos previstos en los artículos 139 Quáter y 400 Bis del Código Penal Federal.</w:t>
      </w:r>
    </w:p>
    <w:p>
      <w:pPr>
        <w:spacing w:after="120"/>
      </w:pPr>
      <w:r>
        <w:rPr>
          <w:sz w:val="20"/>
          <w:szCs w:val="20"/>
        </w:rPr>
        <w:t xml:space="preserve">Con base en dicha metodología, la empresa clasifica a cada Cliente o Usuaria en un Grado de Riesgo individual de, cuando menos, tres niveles: bajo, medio y alto. El Grado de Riesgo inicial se determina con la información proporcionada por el cliente al momento del alta, y se reevalúa cuando menos cada seis meses (Art. 23 Bis 1 RCG). La metodología en su conjunto se revisa y actualiza cuando se detecten nuevos Riesgos, cuando la UIF actualice la Evaluación Nacional de Riesgos, o cuando transcurran doce meses desde la última actualización, lo que ocurra primero (Art. 10 Septies 3 RCG).</w:t>
      </w:r>
    </w:p>
    <w:p>
      <w:pPr>
        <w:spacing w:after="160" w:before="60"/>
      </w:pPr>
      <w:r>
        <w:rPr>
          <w:i/>
          <w:iCs/>
          <w:color w:val="666666"/>
          <w:sz w:val="19"/>
          <w:szCs w:val="19"/>
        </w:rPr>
        <w:t xml:space="preserve">Ver Documento D6 — Metodología EBR. La evaluación con enfoque de Riesgo debe estar a disposición de la autoridad a partir del 1 de marzo de 2027 (Transitorio Segundo del Acuerdo 115/2026).</w:t>
      </w:r>
    </w:p>
    <w:p>
      <w:pPr>
        <w:pStyle w:val="Heading2"/>
        <w:spacing w:after="120" w:before="320"/>
      </w:pPr>
      <w:r>
        <w:t xml:space="preserve">Capítulo 6. Medidas de debida diligencia según el Grado de Riesgo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3864" w:val="clear"/>
            <w:tcMar>
              <w:top w:type="dxa" w:w="70"/>
              <w:left w:type="dxa" w:w="100"/>
              <w:bottom w:type="dxa" w:w="70"/>
              <w:right w:type="dxa" w:w="100"/>
            </w:tcMar>
          </w:tcPr>
          <w:p>
            <w:r>
              <w:rPr>
                <w:b/>
                <w:bCs/>
                <w:color w:val="FFFFFF"/>
                <w:sz w:val="18"/>
                <w:szCs w:val="18"/>
              </w:rPr>
              <w:t xml:space="preserve">Grado de Riesgo</w:t>
            </w:r>
          </w:p>
        </w:tc>
        <w:tc>
          <w:tcPr>
            <w:tcW w:type="dxa" w:w="7400"/>
            <w:shd w:fill="1F3864" w:val="clear"/>
            <w:tcMar>
              <w:top w:type="dxa" w:w="70"/>
              <w:left w:type="dxa" w:w="100"/>
              <w:bottom w:type="dxa" w:w="70"/>
              <w:right w:type="dxa" w:w="100"/>
            </w:tcMar>
          </w:tcPr>
          <w:p>
            <w:r>
              <w:rPr>
                <w:b/>
                <w:bCs/>
                <w:color w:val="FFFFFF"/>
                <w:sz w:val="18"/>
                <w:szCs w:val="18"/>
              </w:rPr>
              <w:t xml:space="preserve">Medidas aplicables</w:t>
            </w:r>
          </w:p>
        </w:tc>
      </w:tr>
      <w:tr>
        <w:tc>
          <w:tcPr>
            <w:tcW w:type="dxa" w:w="2200"/>
            <w:tcMar>
              <w:top w:type="dxa" w:w="70"/>
              <w:left w:type="dxa" w:w="100"/>
              <w:bottom w:type="dxa" w:w="70"/>
              <w:right w:type="dxa" w:w="100"/>
            </w:tcMar>
          </w:tcPr>
          <w:p>
            <w:r>
              <w:rPr>
                <w:b w:val="false"/>
                <w:bCs w:val="false"/>
                <w:sz w:val="18"/>
                <w:szCs w:val="18"/>
              </w:rPr>
              <w:t xml:space="preserve">Riesgo bajo</w:t>
            </w:r>
          </w:p>
        </w:tc>
        <w:tc>
          <w:tcPr>
            <w:tcW w:type="dxa" w:w="7400"/>
            <w:tcMar>
              <w:top w:type="dxa" w:w="70"/>
              <w:left w:type="dxa" w:w="100"/>
              <w:bottom w:type="dxa" w:w="70"/>
              <w:right w:type="dxa" w:w="100"/>
            </w:tcMar>
          </w:tcPr>
          <w:p>
            <w:r>
              <w:rPr>
                <w:b w:val="false"/>
                <w:bCs w:val="false"/>
                <w:sz w:val="18"/>
                <w:szCs w:val="18"/>
              </w:rPr>
              <w:t xml:space="preserve">Medidas simplificadas (Art. 17 RCG): expediente de identificación integrado únicamente con los datos mínimos señalados en los Anexos correspondientes, siempre que la empresa haya documentado en este Manual los criterios que justifican dicha clasificación.</w:t>
            </w:r>
          </w:p>
        </w:tc>
      </w:tr>
      <w:tr>
        <w:tc>
          <w:tcPr>
            <w:tcW w:type="dxa" w:w="2200"/>
            <w:tcMar>
              <w:top w:type="dxa" w:w="70"/>
              <w:left w:type="dxa" w:w="100"/>
              <w:bottom w:type="dxa" w:w="70"/>
              <w:right w:type="dxa" w:w="100"/>
            </w:tcMar>
          </w:tcPr>
          <w:p>
            <w:r>
              <w:rPr>
                <w:b w:val="false"/>
                <w:bCs w:val="false"/>
                <w:sz w:val="18"/>
                <w:szCs w:val="18"/>
              </w:rPr>
              <w:t xml:space="preserve">Riesgo medio</w:t>
            </w:r>
          </w:p>
        </w:tc>
        <w:tc>
          <w:tcPr>
            <w:tcW w:type="dxa" w:w="7400"/>
            <w:tcMar>
              <w:top w:type="dxa" w:w="70"/>
              <w:left w:type="dxa" w:w="100"/>
              <w:bottom w:type="dxa" w:w="70"/>
              <w:right w:type="dxa" w:w="100"/>
            </w:tcMar>
          </w:tcPr>
          <w:p>
            <w:r>
              <w:rPr>
                <w:b w:val="false"/>
                <w:bCs w:val="false"/>
                <w:sz w:val="18"/>
                <w:szCs w:val="18"/>
              </w:rPr>
              <w:t xml:space="preserve">Expediente de identificación completo conforme al Art. 12 de las RCG (Art. 17 Bis RCG).</w:t>
            </w:r>
          </w:p>
        </w:tc>
      </w:tr>
      <w:tr>
        <w:tc>
          <w:tcPr>
            <w:tcW w:type="dxa" w:w="2200"/>
            <w:tcMar>
              <w:top w:type="dxa" w:w="70"/>
              <w:left w:type="dxa" w:w="100"/>
              <w:bottom w:type="dxa" w:w="70"/>
              <w:right w:type="dxa" w:w="100"/>
            </w:tcMar>
          </w:tcPr>
          <w:p>
            <w:r>
              <w:rPr>
                <w:b w:val="false"/>
                <w:bCs w:val="false"/>
                <w:sz w:val="18"/>
                <w:szCs w:val="18"/>
              </w:rPr>
              <w:t xml:space="preserve">Riesgo alto</w:t>
            </w:r>
          </w:p>
        </w:tc>
        <w:tc>
          <w:tcPr>
            <w:tcW w:type="dxa" w:w="7400"/>
            <w:tcMar>
              <w:top w:type="dxa" w:w="70"/>
              <w:left w:type="dxa" w:w="100"/>
              <w:bottom w:type="dxa" w:w="70"/>
              <w:right w:type="dxa" w:w="100"/>
            </w:tcMar>
          </w:tcPr>
          <w:p>
            <w:r>
              <w:rPr>
                <w:b w:val="false"/>
                <w:bCs w:val="false"/>
                <w:sz w:val="18"/>
                <w:szCs w:val="18"/>
              </w:rPr>
              <w:t xml:space="preserve">Debida diligencia reforzada (Art. 23 Ter 3 y 23 Ter 4 RCG): se requiere mayor información sobre el origen y destino de los recursos, se aplica un cuestionario de identificación reforzada, y se realiza una revisión y monitoreo más estricto del comportamiento transaccional del cliente.</w:t>
            </w:r>
          </w:p>
        </w:tc>
      </w:tr>
    </w:tbl>
    <w:p>
      <w:pPr>
        <w:spacing w:after="160" w:before="60"/>
      </w:pPr>
      <w:r>
        <w:rPr>
          <w:i/>
          <w:iCs/>
          <w:color w:val="666666"/>
          <w:sz w:val="19"/>
          <w:szCs w:val="19"/>
        </w:rPr>
        <w:t xml:space="preserve">Ver Cuestionario de Identificación Reforzada (formato Certus PLD) para clientes de Riesgo alto.</w:t>
      </w:r>
    </w:p>
    <w:p>
      <w:pPr>
        <w:pStyle w:val="Heading2"/>
        <w:spacing w:after="120" w:before="320"/>
      </w:pPr>
      <w:r>
        <w:t xml:space="preserve">Capítulo 7. Identificación del Beneficiario Controlador</w:t>
      </w:r>
    </w:p>
    <w:p>
      <w:pPr>
        <w:spacing w:after="120"/>
      </w:pPr>
      <w:r>
        <w:rPr>
          <w:sz w:val="20"/>
          <w:szCs w:val="20"/>
        </w:rPr>
        <w:t xml:space="preserve">Para clientes que sean personas morales, la empresa identifica al Beneficiario Controlador siguiendo el siguiente orden de prelación establecido en el Art. 23 Quinquies de las RCG:</w:t>
      </w:r>
    </w:p>
    <w:p>
      <w:pPr>
        <w:pStyle w:val="ListParagraph"/>
        <w:numPr>
          <w:ilvl w:val="0"/>
          <w:numId w:val="1"/>
        </w:numPr>
        <w:spacing w:after="60"/>
      </w:pPr>
      <w:r>
        <w:rPr>
          <w:sz w:val="20"/>
          <w:szCs w:val="20"/>
        </w:rPr>
        <w:t xml:space="preserve">1. Persona física o grupo de personas físicas que, directa o indirectamente, sea titular del 25% o más del capital social del cliente.</w:t>
      </w:r>
    </w:p>
    <w:p>
      <w:pPr>
        <w:pStyle w:val="ListParagraph"/>
        <w:numPr>
          <w:ilvl w:val="0"/>
          <w:numId w:val="1"/>
        </w:numPr>
        <w:spacing w:after="60"/>
      </w:pPr>
      <w:r>
        <w:rPr>
          <w:sz w:val="20"/>
          <w:szCs w:val="20"/>
        </w:rPr>
        <w:t xml:space="preserve">2. Si no es identificable por el criterio anterior, persona física o grupo que ejerza el control efectivo del cliente por otros medios, relacionada con la estrategia, toma de decisiones y dirección de sus principales políticas.</w:t>
      </w:r>
    </w:p>
    <w:p>
      <w:pPr>
        <w:pStyle w:val="ListParagraph"/>
        <w:numPr>
          <w:ilvl w:val="0"/>
          <w:numId w:val="1"/>
        </w:numPr>
        <w:spacing w:after="60"/>
      </w:pPr>
      <w:r>
        <w:rPr>
          <w:sz w:val="20"/>
          <w:szCs w:val="20"/>
        </w:rPr>
        <w:t xml:space="preserve">3. Si no es identificable por los criterios anteriores, la persona física que ocupe el cargo de funcionario administrativo de mayor grado o de alta dirección.</w:t>
      </w:r>
    </w:p>
    <w:p>
      <w:pPr>
        <w:spacing w:after="120"/>
      </w:pPr>
      <w:r>
        <w:rPr>
          <w:sz w:val="20"/>
          <w:szCs w:val="20"/>
        </w:rPr>
        <w:t xml:space="preserve">Cuando el cliente sea un fideicomiso, se considera Beneficiario Controlador a la persona física que, en última instancia, ejerza el control efectivo sobre el fideicomiso (fiduciario, fideicomitentes, fideicomisarios, comité técnico u órgano equivalente), conforme al Art. 23 Quinquies 1 RCG. No se requiere identificación del Beneficiario Controlador cuando el cliente cotice en bolsa de valores reconocida, o pertenezca a las personas morales listadas en los Anexos 4 Bis, 6 Bis, 7-A o 7 Bis-A de las RCG (Art. 23 Quinquies 2).</w:t>
      </w:r>
    </w:p>
    <w:p>
      <w:pPr>
        <w:spacing w:after="160" w:before="60"/>
      </w:pPr>
      <w:r>
        <w:rPr>
          <w:i/>
          <w:iCs/>
          <w:color w:val="666666"/>
          <w:sz w:val="19"/>
          <w:szCs w:val="19"/>
        </w:rPr>
        <w:t xml:space="preserve">Este procedimiento debe ser congruente con el Documento D14 — Manual del Beneficiario Controlador (CFF y LFPIORPI). El expediente respectivo se integra conforme al Documento D7.</w:t>
      </w:r>
    </w:p>
    <w:p>
      <w:pPr>
        <w:pStyle w:val="Heading2"/>
        <w:spacing w:after="120" w:before="320"/>
      </w:pPr>
      <w:r>
        <w:t xml:space="preserve">Capítulo 8. Personas Políticamente Expuestas (PEP's)</w:t>
      </w:r>
    </w:p>
    <w:p>
      <w:pPr>
        <w:spacing w:after="120"/>
      </w:pPr>
      <w:r>
        <w:rPr>
          <w:sz w:val="20"/>
          <w:szCs w:val="20"/>
        </w:rPr>
        <w:t xml:space="preserve">Se considera Persona Políticamente Expuesta (PEP) a quien desempeña o ha desempeñado funciones públicas prominentes en territorio nacional o en el extranjero, así como a su cónyuge, concubina o concubinario, parientes por consanguinidad o afinidad hasta el segundo grado, y a los socios o asociados con quienes mantenga vínculos patrimoniales (Art. 23 Quáter RCG). La calidad de PEP se conserva durante el año siguiente a que la persona haya dejado el cargo.</w:t>
      </w:r>
    </w:p>
    <w:p>
      <w:pPr>
        <w:spacing w:after="120"/>
      </w:pPr>
      <w:r>
        <w:rPr>
          <w:sz w:val="20"/>
          <w:szCs w:val="20"/>
        </w:rPr>
        <w:t xml:space="preserve">Para la consulta de PEP nacionales, la empresa utilizará la aplicación Consulta PEP 2.0 de la UIF, disponible a partir de los 9 meses siguientes a la entrada en vigor del Acuerdo 115/2026 (Art. 23 Quáter 1 RCG). Cuando un cliente sea clasificado simultáneamente como PEP y de Grado de Riesgo alto, la operación requerirá la aprobación de un directivo o su equivalente antes de llevarse a cabo (Art. 23 Ter 5 RCG); si quien realiza la Actividad Vulnerable es persona física, dicha aprobación se sustituye por una constancia firmada que documente los motivos considerados.</w:t>
      </w:r>
    </w:p>
    <w:p>
      <w:pPr>
        <w:spacing w:after="160" w:before="60"/>
      </w:pPr>
      <w:r>
        <w:rPr>
          <w:i/>
          <w:iCs/>
          <w:color w:val="666666"/>
          <w:sz w:val="19"/>
          <w:szCs w:val="19"/>
        </w:rPr>
        <w:t xml:space="preserve">Ver Documento D8 — Política de PEP's.</w:t>
      </w:r>
    </w:p>
    <w:p>
      <w:pPr>
        <w:pStyle w:val="Heading2"/>
        <w:spacing w:after="120" w:before="320"/>
      </w:pPr>
      <w:r>
        <w:t xml:space="preserve">Capítulo 9. Perfil transaccional y sistema de alertas</w:t>
      </w:r>
    </w:p>
    <w:p>
      <w:pPr>
        <w:spacing w:after="120"/>
      </w:pPr>
      <w:r>
        <w:rPr>
          <w:sz w:val="20"/>
          <w:szCs w:val="20"/>
        </w:rPr>
        <w:t xml:space="preserve">La empresa determina el Perfil Transaccional inicial de cada Cliente o Usuaria con base en la información que este proporcione sobre los montos, frecuencia y tipo de actos u operaciones que estima realizar (Art. 23 Ter 1 RCG). Este perfil se incorpora a un sistema de alertas que permite detectar oportunamente comportamientos que se aparten de lo esperado y que pudieran vincularse con los delitos previstos en los artículos 139 Quáter o 400 Bis del Código Penal Federal (Art. 23 Ter 2 RCG). El Perfil Transaccional se reevalúa cuando menos cada seis meses.</w:t>
      </w:r>
    </w:p>
    <w:p>
      <w:pPr>
        <w:pStyle w:val="Heading2"/>
        <w:spacing w:after="120" w:before="320"/>
      </w:pPr>
      <w:r>
        <w:t xml:space="preserve">Capítulo 10. Operaciones inusuales y relevantes</w:t>
      </w:r>
    </w:p>
    <w:p>
      <w:pPr>
        <w:spacing w:after="80" w:before="160"/>
      </w:pPr>
      <w:r>
        <w:rPr>
          <w:b/>
          <w:bCs/>
          <w:color w:val="B08D57"/>
          <w:sz w:val="21"/>
          <w:szCs w:val="21"/>
        </w:rPr>
        <w:t xml:space="preserve">10.1 Señales de alerta en el sector inmobiliario</w:t>
      </w:r>
    </w:p>
    <w:p>
      <w:pPr>
        <w:pStyle w:val="ListParagraph"/>
        <w:numPr>
          <w:ilvl w:val="0"/>
          <w:numId w:val="1"/>
        </w:numPr>
        <w:spacing w:after="60"/>
      </w:pPr>
      <w:r>
        <w:rPr>
          <w:sz w:val="20"/>
          <w:szCs w:val="20"/>
        </w:rPr>
        <w:t xml:space="preserve">Pago total o parcial en efectivo por montos que superen los umbrales del Art. 32 LFPIORPI</w:t>
      </w:r>
    </w:p>
    <w:p>
      <w:pPr>
        <w:pStyle w:val="ListParagraph"/>
        <w:numPr>
          <w:ilvl w:val="0"/>
          <w:numId w:val="1"/>
        </w:numPr>
        <w:spacing w:after="60"/>
      </w:pPr>
      <w:r>
        <w:rPr>
          <w:sz w:val="20"/>
          <w:szCs w:val="20"/>
        </w:rPr>
        <w:t xml:space="preserve">Adquisición de varios inmuebles en poco tiempo sin justificación económica aparente</w:t>
      </w:r>
    </w:p>
    <w:p>
      <w:pPr>
        <w:pStyle w:val="ListParagraph"/>
        <w:numPr>
          <w:ilvl w:val="0"/>
          <w:numId w:val="1"/>
        </w:numPr>
        <w:spacing w:after="60"/>
      </w:pPr>
      <w:r>
        <w:rPr>
          <w:sz w:val="20"/>
          <w:szCs w:val="20"/>
        </w:rPr>
        <w:t xml:space="preserve">Cliente que no puede explicar el origen de sus recursos</w:t>
      </w:r>
    </w:p>
    <w:p>
      <w:pPr>
        <w:pStyle w:val="ListParagraph"/>
        <w:numPr>
          <w:ilvl w:val="0"/>
          <w:numId w:val="1"/>
        </w:numPr>
        <w:spacing w:after="60"/>
      </w:pPr>
      <w:r>
        <w:rPr>
          <w:sz w:val="20"/>
          <w:szCs w:val="20"/>
        </w:rPr>
        <w:t xml:space="preserve">Uso de terceros o prestanombres para formalizar la operación</w:t>
      </w:r>
    </w:p>
    <w:p>
      <w:pPr>
        <w:pStyle w:val="ListParagraph"/>
        <w:numPr>
          <w:ilvl w:val="0"/>
          <w:numId w:val="1"/>
        </w:numPr>
        <w:spacing w:after="60"/>
      </w:pPr>
      <w:r>
        <w:rPr>
          <w:sz w:val="20"/>
          <w:szCs w:val="20"/>
        </w:rPr>
        <w:t xml:space="preserve">Precio de compraventa significativamente diferente al valor de mercado</w:t>
      </w:r>
    </w:p>
    <w:p>
      <w:pPr>
        <w:pStyle w:val="ListParagraph"/>
        <w:numPr>
          <w:ilvl w:val="0"/>
          <w:numId w:val="1"/>
        </w:numPr>
        <w:spacing w:after="60"/>
      </w:pPr>
      <w:r>
        <w:rPr>
          <w:sz w:val="20"/>
          <w:szCs w:val="20"/>
        </w:rPr>
        <w:t xml:space="preserve">Solicitud de subdivisiones artificiales de pagos para evitar umbrales</w:t>
      </w:r>
    </w:p>
    <w:p>
      <w:pPr>
        <w:pStyle w:val="ListParagraph"/>
        <w:numPr>
          <w:ilvl w:val="0"/>
          <w:numId w:val="1"/>
        </w:numPr>
        <w:spacing w:after="60"/>
      </w:pPr>
      <w:r>
        <w:rPr>
          <w:sz w:val="20"/>
          <w:szCs w:val="20"/>
        </w:rPr>
        <w:t xml:space="preserve">Actos u operaciones que se aparten del Perfil Transaccional determinado conforme al Capítulo 9</w:t>
      </w:r>
    </w:p>
    <w:p>
      <w:pPr>
        <w:pStyle w:val="Heading2"/>
        <w:spacing w:after="120" w:before="320"/>
      </w:pPr>
      <w:r>
        <w:t xml:space="preserve">Capítulo 11. Restricción de pagos en efectivo</w:t>
      </w:r>
    </w:p>
    <w:p>
      <w:pPr>
        <w:spacing w:after="120"/>
      </w:pPr>
      <w:r>
        <w:rPr>
          <w:sz w:val="20"/>
          <w:szCs w:val="20"/>
        </w:rPr>
        <w:t xml:space="preserve">Conforme al artículo 32 de la LFPIORPI, está prohibido liquidar o aceptar pagos en efectivo (monedas, billetes o Metales Preciosos) en la constitución o transmisión de derechos reales sobre inmuebles por un valor igual o superior al equivalente a 8,025 veces la UMA diaria (fracción I), y en la constitución de derechos personales de uso o goce de inmuebles (rentas) por un valor igual o superior a 3,210 veces la UMA diaria mensuales (fracción VII), al día en que se realice el pago o se cumpla la obligación.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200"/>
            <w:shd w:fill="1F3864" w:val="clear"/>
            <w:tcMar>
              <w:top w:type="dxa" w:w="70"/>
              <w:left w:type="dxa" w:w="100"/>
              <w:bottom w:type="dxa" w:w="70"/>
              <w:right w:type="dxa" w:w="100"/>
            </w:tcMar>
          </w:tcPr>
          <w:p>
            <w:r>
              <w:rPr>
                <w:b/>
                <w:bCs/>
                <w:color w:val="FFFFFF"/>
                <w:sz w:val="18"/>
                <w:szCs w:val="18"/>
              </w:rPr>
              <w:t xml:space="preserve">Cálculo del umbral Art. 32</w:t>
            </w:r>
          </w:p>
        </w:tc>
        <w:tc>
          <w:tcPr>
            <w:tcW w:type="dxa" w:w="4400"/>
            <w:shd w:fill="1F3864" w:val="clear"/>
            <w:tcMar>
              <w:top w:type="dxa" w:w="70"/>
              <w:left w:type="dxa" w:w="100"/>
              <w:bottom w:type="dxa" w:w="70"/>
              <w:right w:type="dxa" w:w="100"/>
            </w:tcMar>
          </w:tcPr>
          <w:p>
            <w:r>
              <w:rPr>
                <w:b/>
                <w:bCs/>
                <w:color w:val="FFFFFF"/>
                <w:sz w:val="18"/>
                <w:szCs w:val="18"/>
              </w:rPr>
              <w:t xml:space="preserve">Monto</w:t>
            </w:r>
          </w:p>
        </w:tc>
      </w:tr>
      <w:tr>
        <w:tc>
          <w:tcPr>
            <w:tcW w:type="dxa" w:w="5200"/>
            <w:tcMar>
              <w:top w:type="dxa" w:w="70"/>
              <w:left w:type="dxa" w:w="100"/>
              <w:bottom w:type="dxa" w:w="70"/>
              <w:right w:type="dxa" w:w="100"/>
            </w:tcMar>
          </w:tcPr>
          <w:p>
            <w:r>
              <w:rPr>
                <w:b w:val="false"/>
                <w:bCs w:val="false"/>
                <w:sz w:val="18"/>
                <w:szCs w:val="18"/>
              </w:rPr>
              <w:t xml:space="preserve">UMA 2026 diaria</w:t>
            </w:r>
          </w:p>
        </w:tc>
        <w:tc>
          <w:tcPr>
            <w:tcW w:type="dxa" w:w="4400"/>
            <w:tcMar>
              <w:top w:type="dxa" w:w="70"/>
              <w:left w:type="dxa" w:w="100"/>
              <w:bottom w:type="dxa" w:w="70"/>
              <w:right w:type="dxa" w:w="100"/>
            </w:tcMar>
          </w:tcPr>
          <w:p>
            <w:r>
              <w:rPr>
                <w:b w:val="false"/>
                <w:bCs w:val="false"/>
                <w:sz w:val="18"/>
                <w:szCs w:val="18"/>
              </w:rPr>
              <w:t xml:space="preserve">$117.31 MXN</w:t>
            </w:r>
          </w:p>
        </w:tc>
      </w:tr>
      <w:tr>
        <w:tc>
          <w:tcPr>
            <w:tcW w:type="dxa" w:w="5200"/>
            <w:tcMar>
              <w:top w:type="dxa" w:w="70"/>
              <w:left w:type="dxa" w:w="100"/>
              <w:bottom w:type="dxa" w:w="70"/>
              <w:right w:type="dxa" w:w="100"/>
            </w:tcMar>
          </w:tcPr>
          <w:p>
            <w:r>
              <w:rPr>
                <w:b w:val="false"/>
                <w:bCs w:val="false"/>
                <w:sz w:val="18"/>
                <w:szCs w:val="18"/>
              </w:rPr>
              <w:t xml:space="preserve">8,025 UMA diarias</w:t>
            </w:r>
          </w:p>
        </w:tc>
        <w:tc>
          <w:tcPr>
            <w:tcW w:type="dxa" w:w="4400"/>
            <w:tcMar>
              <w:top w:type="dxa" w:w="70"/>
              <w:left w:type="dxa" w:w="100"/>
              <w:bottom w:type="dxa" w:w="70"/>
              <w:right w:type="dxa" w:w="100"/>
            </w:tcMar>
          </w:tcPr>
          <w:p>
            <w:r>
              <w:rPr>
                <w:b w:val="false"/>
                <w:bCs w:val="false"/>
                <w:sz w:val="18"/>
                <w:szCs w:val="18"/>
              </w:rPr>
              <w:t xml:space="preserve">$941,412.75 MXN</w:t>
            </w:r>
          </w:p>
        </w:tc>
      </w:tr>
      <w:tr>
        <w:tc>
          <w:tcPr>
            <w:tcW w:type="dxa" w:w="5200"/>
            <w:tcMar>
              <w:top w:type="dxa" w:w="70"/>
              <w:left w:type="dxa" w:w="100"/>
              <w:bottom w:type="dxa" w:w="70"/>
              <w:right w:type="dxa" w:w="100"/>
            </w:tcMar>
          </w:tcPr>
          <w:p>
            <w:r>
              <w:rPr>
                <w:b w:val="false"/>
                <w:bCs w:val="false"/>
                <w:sz w:val="18"/>
                <w:szCs w:val="18"/>
              </w:rPr>
              <w:t xml:space="preserve">IVA</w:t>
            </w:r>
          </w:p>
        </w:tc>
        <w:tc>
          <w:tcPr>
            <w:tcW w:type="dxa" w:w="4400"/>
            <w:tcMar>
              <w:top w:type="dxa" w:w="70"/>
              <w:left w:type="dxa" w:w="100"/>
              <w:bottom w:type="dxa" w:w="70"/>
              <w:right w:type="dxa" w:w="100"/>
            </w:tcMar>
          </w:tcPr>
          <w:p>
            <w:r>
              <w:rPr>
                <w:b w:val="false"/>
                <w:bCs w:val="false"/>
                <w:sz w:val="18"/>
                <w:szCs w:val="18"/>
              </w:rPr>
              <w:t xml:space="preserve">No se adiciona (Art. 32 LFPIORPI)</w:t>
            </w:r>
          </w:p>
        </w:tc>
      </w:tr>
      <w:tr>
        <w:tc>
          <w:tcPr>
            <w:tcW w:type="dxa" w:w="5200"/>
            <w:tcMar>
              <w:top w:type="dxa" w:w="70"/>
              <w:left w:type="dxa" w:w="100"/>
              <w:bottom w:type="dxa" w:w="70"/>
              <w:right w:type="dxa" w:w="100"/>
            </w:tcMar>
          </w:tcPr>
          <w:p>
            <w:r>
              <w:rPr>
                <w:b w:val="false"/>
                <w:bCs w:val="false"/>
                <w:sz w:val="18"/>
                <w:szCs w:val="18"/>
              </w:rPr>
              <w:t xml:space="preserve">UMBRAL APLICABLE (INMUEBLES)</w:t>
            </w:r>
          </w:p>
        </w:tc>
        <w:tc>
          <w:tcPr>
            <w:tcW w:type="dxa" w:w="4400"/>
            <w:tcMar>
              <w:top w:type="dxa" w:w="70"/>
              <w:left w:type="dxa" w:w="100"/>
              <w:bottom w:type="dxa" w:w="70"/>
              <w:right w:type="dxa" w:w="100"/>
            </w:tcMar>
          </w:tcPr>
          <w:p>
            <w:r>
              <w:rPr>
                <w:b w:val="false"/>
                <w:bCs w:val="false"/>
                <w:sz w:val="18"/>
                <w:szCs w:val="18"/>
              </w:rPr>
              <w:t xml:space="preserve">$941,412.75 MXN</w:t>
            </w:r>
          </w:p>
        </w:tc>
      </w:tr>
    </w:tbl>
    <w:p>
      <w:pPr>
        <w:pStyle w:val="Heading2"/>
        <w:spacing w:after="120" w:before="320"/>
      </w:pPr>
      <w:r>
        <w:t xml:space="preserve">Capítulo 12. Presentación de Avisos e Informes ante el SAT</w:t>
      </w:r>
    </w:p>
    <w:p>
      <w:pPr>
        <w:spacing w:after="120"/>
      </w:pPr>
      <w:r>
        <w:rPr>
          <w:sz w:val="20"/>
          <w:szCs w:val="20"/>
        </w:rPr>
        <w:t xml:space="preserve">Los Avisos deben presentarse ante la UIF, por conducto del SAT, a más tardar el día 17 del mes inmediato siguiente a aquel en que se realizó la operación (Art. 23 de la LFPIORPI). En meses sin operaciones que reportar, se presenta un Informe en ceros conforme al Art. 25 de las RCG.</w:t>
      </w:r>
    </w:p>
    <w:p>
      <w:pPr>
        <w:spacing w:after="120"/>
      </w:pPr>
      <w:r>
        <w:rPr>
          <w:sz w:val="20"/>
          <w:szCs w:val="20"/>
        </w:rPr>
        <w:t xml:space="preserve">El Aviso por sospecha se envía dentro de las 24 horas siguientes a que la empresa reconozca una conducta inusitada del cliente vinculada con posibles Delitos de Operaciones con Recursos de Procedencia Ilícita (Art. 26 Bis RCG); el Aviso por hechos o indicios obtenidos de fuentes públicas o privadas sigue el mismo plazo de 24 horas (Art. 26 Bis 1 RCG). Ambos pueden presentarse aun cuando el acto no alcance el umbral o no se haya consumado (Art. 26 Bis 2 RCG).</w:t>
      </w:r>
    </w:p>
    <w:p>
      <w:pPr>
        <w:spacing w:after="120"/>
      </w:pPr>
      <w:r>
        <w:rPr>
          <w:sz w:val="20"/>
          <w:szCs w:val="20"/>
        </w:rPr>
        <w:t xml:space="preserve">Para la fracción V Bis (desarrollos inmobiliarios), la empresa podrá enviar un solo Aviso mensual consolidado por todas las aportaciones recibidas en el mes calendario y aplicadas al mismo desarrollo, siempre que se respete el plazo máximo del Art. 23 de la Ley (Art. 24 Bis 1 RCG).</w:t>
      </w:r>
    </w:p>
    <w:p>
      <w:pPr>
        <w:spacing w:after="160" w:before="60"/>
      </w:pPr>
      <w:r>
        <w:rPr>
          <w:i/>
          <w:iCs/>
          <w:color w:val="666666"/>
          <w:sz w:val="19"/>
          <w:szCs w:val="19"/>
        </w:rPr>
        <w:t xml:space="preserve">Ver Documentos D9 y D12.</w:t>
      </w:r>
    </w:p>
    <w:p>
      <w:pPr>
        <w:pStyle w:val="Heading2"/>
        <w:spacing w:after="120" w:before="320"/>
      </w:pPr>
      <w:r>
        <w:t xml:space="preserve">Capítulo 13. Seguimiento y acumulación de actos u operaciones</w:t>
      </w:r>
    </w:p>
    <w:p>
      <w:pPr>
        <w:spacing w:after="120"/>
      </w:pPr>
      <w:r>
        <w:rPr>
          <w:sz w:val="20"/>
          <w:szCs w:val="20"/>
        </w:rPr>
        <w:t xml:space="preserve">La empresa establece mecanismos para dar seguimiento y acumular los actos u operaciones que, en lo individual, realice cada Cliente o Usuaria, en periodos de hasta seis meses contados a partir del primer acto (Art. 19 RCG), a efecto de determinar si en conjunto alcanzan el umbral de Aviso aplicable a la Actividad Vulnerable de que se trate.</w:t>
      </w:r>
    </w:p>
    <w:p>
      <w:pPr>
        <w:pStyle w:val="Heading2"/>
        <w:spacing w:after="120" w:before="320"/>
      </w:pPr>
      <w:r>
        <w:t xml:space="preserve">Capítulo 14. Resguardo documental</w:t>
      </w:r>
    </w:p>
    <w:p>
      <w:pPr>
        <w:spacing w:after="120"/>
      </w:pPr>
      <w:r>
        <w:rPr>
          <w:sz w:val="20"/>
          <w:szCs w:val="20"/>
        </w:rPr>
        <w:t xml:space="preserve">Todos los documentos generados en el marco del Programa Certus PLD deben conservarse conforme a los siguientes plazos: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400"/>
            <w:shd w:fill="1F3864" w:val="clear"/>
            <w:tcMar>
              <w:top w:type="dxa" w:w="70"/>
              <w:left w:type="dxa" w:w="100"/>
              <w:bottom w:type="dxa" w:w="70"/>
              <w:right w:type="dxa" w:w="100"/>
            </w:tcMar>
          </w:tcPr>
          <w:p>
            <w:r>
              <w:rPr>
                <w:b/>
                <w:bCs/>
                <w:color w:val="FFFFFF"/>
                <w:sz w:val="18"/>
                <w:szCs w:val="18"/>
              </w:rPr>
              <w:t xml:space="preserve">Documento / registro</w:t>
            </w:r>
          </w:p>
        </w:tc>
        <w:tc>
          <w:tcPr>
            <w:tcW w:type="dxa" w:w="2600"/>
            <w:shd w:fill="1F3864" w:val="clear"/>
            <w:tcMar>
              <w:top w:type="dxa" w:w="70"/>
              <w:left w:type="dxa" w:w="100"/>
              <w:bottom w:type="dxa" w:w="70"/>
              <w:right w:type="dxa" w:w="100"/>
            </w:tcMar>
          </w:tcPr>
          <w:p>
            <w:r>
              <w:rPr>
                <w:b/>
                <w:bCs/>
                <w:color w:val="FFFFFF"/>
                <w:sz w:val="18"/>
                <w:szCs w:val="18"/>
              </w:rPr>
              <w:t xml:space="preserve">Plazo</w:t>
            </w:r>
          </w:p>
        </w:tc>
        <w:tc>
          <w:tcPr>
            <w:tcW w:type="dxa" w:w="2600"/>
            <w:shd w:fill="1F3864" w:val="clear"/>
            <w:tcMar>
              <w:top w:type="dxa" w:w="70"/>
              <w:left w:type="dxa" w:w="100"/>
              <w:bottom w:type="dxa" w:w="70"/>
              <w:right w:type="dxa" w:w="100"/>
            </w:tcMar>
          </w:tcPr>
          <w:p>
            <w:r>
              <w:rPr>
                <w:b/>
                <w:bCs/>
                <w:color w:val="FFFFFF"/>
                <w:sz w:val="18"/>
                <w:szCs w:val="18"/>
              </w:rPr>
              <w:t xml:space="preserve">Fundamento</w:t>
            </w:r>
          </w:p>
        </w:tc>
      </w:tr>
      <w:tr>
        <w:tc>
          <w:tcPr>
            <w:tcW w:type="dxa" w:w="4400"/>
            <w:tcMar>
              <w:top w:type="dxa" w:w="70"/>
              <w:left w:type="dxa" w:w="100"/>
              <w:bottom w:type="dxa" w:w="70"/>
              <w:right w:type="dxa" w:w="100"/>
            </w:tcMar>
          </w:tcPr>
          <w:p>
            <w:r>
              <w:rPr>
                <w:b w:val="false"/>
                <w:bCs w:val="false"/>
                <w:sz w:val="18"/>
                <w:szCs w:val="18"/>
              </w:rPr>
              <w:t xml:space="preserve">Expedientes de identificación de Clientes o Usuarias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Reforma LFPIORPI jul-2025</w:t>
            </w:r>
          </w:p>
        </w:tc>
      </w:tr>
      <w:tr>
        <w:tc>
          <w:tcPr>
            <w:tcW w:type="dxa" w:w="4400"/>
            <w:tcMar>
              <w:top w:type="dxa" w:w="70"/>
              <w:left w:type="dxa" w:w="100"/>
              <w:bottom w:type="dxa" w:w="70"/>
              <w:right w:type="dxa" w:w="100"/>
            </w:tcMar>
          </w:tcPr>
          <w:p>
            <w:r>
              <w:rPr>
                <w:b w:val="false"/>
                <w:bCs w:val="false"/>
                <w:sz w:val="18"/>
                <w:szCs w:val="18"/>
              </w:rPr>
              <w:t xml:space="preserve">Metodología EBR, indicadores y resultados</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10 Septies 3 RCG</w:t>
            </w:r>
          </w:p>
        </w:tc>
      </w:tr>
      <w:tr>
        <w:tc>
          <w:tcPr>
            <w:tcW w:type="dxa" w:w="4400"/>
            <w:tcMar>
              <w:top w:type="dxa" w:w="70"/>
              <w:left w:type="dxa" w:w="100"/>
              <w:bottom w:type="dxa" w:w="70"/>
              <w:right w:type="dxa" w:w="100"/>
            </w:tcMar>
          </w:tcPr>
          <w:p>
            <w:r>
              <w:rPr>
                <w:b w:val="false"/>
                <w:bCs w:val="false"/>
                <w:sz w:val="18"/>
                <w:szCs w:val="18"/>
              </w:rPr>
              <w:t xml:space="preserve">Evidencia documental de programas de capacitación</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39 Bis 1 RCG</w:t>
            </w:r>
          </w:p>
        </w:tc>
      </w:tr>
      <w:tr>
        <w:tc>
          <w:tcPr>
            <w:tcW w:type="dxa" w:w="4400"/>
            <w:tcMar>
              <w:top w:type="dxa" w:w="70"/>
              <w:left w:type="dxa" w:w="100"/>
              <w:bottom w:type="dxa" w:w="70"/>
              <w:right w:type="dxa" w:w="100"/>
            </w:tcMar>
          </w:tcPr>
          <w:p>
            <w:r>
              <w:rPr>
                <w:b w:val="false"/>
                <w:bCs w:val="false"/>
                <w:sz w:val="18"/>
                <w:szCs w:val="18"/>
              </w:rPr>
              <w:t xml:space="preserve">Historial de Grado de Riesgo y Perfil Transaccional</w:t>
            </w:r>
          </w:p>
        </w:tc>
        <w:tc>
          <w:tcPr>
            <w:tcW w:type="dxa" w:w="2600"/>
            <w:tcMar>
              <w:top w:type="dxa" w:w="70"/>
              <w:left w:type="dxa" w:w="100"/>
              <w:bottom w:type="dxa" w:w="70"/>
              <w:right w:type="dxa" w:w="100"/>
            </w:tcMar>
          </w:tcPr>
          <w:p>
            <w:r>
              <w:rPr>
                <w:b w:val="false"/>
                <w:bCs w:val="false"/>
                <w:sz w:val="18"/>
                <w:szCs w:val="18"/>
              </w:rPr>
              <w:t xml:space="preserve">10 años</w:t>
            </w:r>
          </w:p>
        </w:tc>
        <w:tc>
          <w:tcPr>
            <w:tcW w:type="dxa" w:w="2600"/>
            <w:tcMar>
              <w:top w:type="dxa" w:w="70"/>
              <w:left w:type="dxa" w:w="100"/>
              <w:bottom w:type="dxa" w:w="70"/>
              <w:right w:type="dxa" w:w="100"/>
            </w:tcMar>
          </w:tcPr>
          <w:p>
            <w:r>
              <w:rPr>
                <w:b w:val="false"/>
                <w:bCs w:val="false"/>
                <w:sz w:val="18"/>
                <w:szCs w:val="18"/>
              </w:rPr>
              <w:t xml:space="preserve">Art. 41 fr. IV RCG</w:t>
            </w:r>
          </w:p>
        </w:tc>
      </w:tr>
      <w:tr>
        <w:tc>
          <w:tcPr>
            <w:tcW w:type="dxa" w:w="4400"/>
            <w:tcMar>
              <w:top w:type="dxa" w:w="70"/>
              <w:left w:type="dxa" w:w="100"/>
              <w:bottom w:type="dxa" w:w="70"/>
              <w:right w:type="dxa" w:w="100"/>
            </w:tcMar>
          </w:tcPr>
          <w:p>
            <w:r>
              <w:rPr>
                <w:b w:val="false"/>
                <w:bCs w:val="false"/>
                <w:sz w:val="18"/>
                <w:szCs w:val="18"/>
              </w:rPr>
              <w:t xml:space="preserve">Dictamen de auditoría y evidencia que lo sustenta</w:t>
            </w:r>
          </w:p>
        </w:tc>
        <w:tc>
          <w:tcPr>
            <w:tcW w:type="dxa" w:w="2600"/>
            <w:tcMar>
              <w:top w:type="dxa" w:w="70"/>
              <w:left w:type="dxa" w:w="100"/>
              <w:bottom w:type="dxa" w:w="70"/>
              <w:right w:type="dxa" w:w="100"/>
            </w:tcMar>
          </w:tcPr>
          <w:p>
            <w:r>
              <w:rPr>
                <w:b w:val="false"/>
                <w:bCs w:val="false"/>
                <w:sz w:val="18"/>
                <w:szCs w:val="18"/>
              </w:rPr>
              <w:t xml:space="preserve">5 años</w:t>
            </w:r>
          </w:p>
        </w:tc>
        <w:tc>
          <w:tcPr>
            <w:tcW w:type="dxa" w:w="2600"/>
            <w:tcMar>
              <w:top w:type="dxa" w:w="70"/>
              <w:left w:type="dxa" w:w="100"/>
              <w:bottom w:type="dxa" w:w="70"/>
              <w:right w:type="dxa" w:w="100"/>
            </w:tcMar>
          </w:tcPr>
          <w:p>
            <w:r>
              <w:rPr>
                <w:b w:val="false"/>
                <w:bCs w:val="false"/>
                <w:sz w:val="18"/>
                <w:szCs w:val="18"/>
              </w:rPr>
              <w:t xml:space="preserve">Art. 51 RCG</w:t>
            </w:r>
          </w:p>
        </w:tc>
      </w:tr>
    </w:tbl>
    <w:p>
      <w:pPr>
        <w:spacing w:after="160" w:before="60"/>
      </w:pPr>
      <w:r>
        <w:rPr>
          <w:i/>
          <w:iCs/>
          <w:color w:val="666666"/>
          <w:sz w:val="19"/>
          <w:szCs w:val="19"/>
        </w:rPr>
        <w:t xml:space="preserve">Ver Documento D10 — Política de Resguardo Documental.</w:t>
      </w:r>
    </w:p>
    <w:p>
      <w:pPr>
        <w:pStyle w:val="Heading2"/>
        <w:spacing w:after="120" w:before="320"/>
      </w:pPr>
      <w:r>
        <w:t xml:space="preserve">Capítulo 15. Identificación de personas en listas de autoridades</w:t>
      </w:r>
    </w:p>
    <w:p>
      <w:pPr>
        <w:spacing w:after="120"/>
      </w:pPr>
      <w:r>
        <w:rPr>
          <w:sz w:val="20"/>
          <w:szCs w:val="20"/>
        </w:rPr>
        <w:t xml:space="preserve">La empresa incorpora en sus procedimientos internos los mecanismos necesarios para identificar a las personas incluidas en las listas que, para efectos de prevención, dé a conocer la UIF, emitidas por autoridades nacionales o por organismos internacionales reconocidos por instrumentos de los que México sea parte (Art. 38 RCG), con el fin de evitar el uso de recursos para el financiamiento de organizaciones delictivas u otras actividades ilícitas.</w:t>
      </w:r>
    </w:p>
    <w:p>
      <w:pPr>
        <w:pStyle w:val="Heading2"/>
        <w:spacing w:after="120" w:before="320"/>
      </w:pPr>
      <w:r>
        <w:t xml:space="preserve">Capítulo 16. Criterios para apertura, limitación y terminación de relaciones comerciales</w:t>
      </w:r>
    </w:p>
    <w:p>
      <w:pPr>
        <w:spacing w:after="120"/>
      </w:pPr>
      <w:r>
        <w:rPr>
          <w:sz w:val="20"/>
          <w:szCs w:val="20"/>
        </w:rPr>
        <w:t xml:space="preserve">En congruencia con la metodología EBR (Art. 37, tercer párrafo, RCG), la empresa no iniciará o dará por terminada una Relación de negocios cuando: (i) el cliente se niegue a proporcionar la información o documentación necesaria para integrar su expediente de identificación; (ii) el Grado de Riesgo resultante sea inaceptable conforme a los criterios definidos en el Documento D6; o (iii) se detecten señales de alerta que no puedan ser razonablemente aclaradas por el cliente. Toda limitación o terminación deberá documentarse y conservarse en el expediente respectivo.</w:t>
      </w:r>
    </w:p>
    <w:p>
      <w:pPr>
        <w:pStyle w:val="Heading2"/>
        <w:spacing w:after="120" w:before="320"/>
      </w:pPr>
      <w:r>
        <w:t xml:space="preserve">Capítulo 17. Capacitación y selección del personal</w:t>
      </w:r>
    </w:p>
    <w:p>
      <w:pPr>
        <w:spacing w:after="120"/>
      </w:pPr>
      <w:r>
        <w:rPr>
          <w:sz w:val="20"/>
          <w:szCs w:val="20"/>
        </w:rPr>
        <w:t xml:space="preserve">La empresa implementará el Programa Anual de Capacitación Certus PLD (Documento D11), dirigido a los miembros del órgano de administración, al Representante Encargado de Cumplimiento y a todo el personal que atienda al público, participe en la identificación de clientes, en el envío de Avisos o en labores de auditoría (Art. 39 Bis RCG). El temario mínimo incluye: la Ley, el Reglamento, las RCG y este Manual; los actos u operaciones del Art. 17 de la Ley; y los Riesgos a los que está expuesta la empresa. Quien imparta la capacitación deberá acreditar cuando menos cinco años de experiencia en la materia.</w:t>
      </w:r>
    </w:p>
    <w:p>
      <w:pPr>
        <w:spacing w:after="120"/>
      </w:pPr>
      <w:r>
        <w:rPr>
          <w:sz w:val="20"/>
          <w:szCs w:val="20"/>
        </w:rPr>
        <w:t xml:space="preserve">Al finalizar cada curso se aplicará una evaluación de conocimientos; para quienes no obtengan resultados satisfactorios, la empresa aplicará las medidas previstas en el Documento D11C. El personal que vaya a laborar en áreas de atención al público o de administración de recursos recibirá capacitación de manera previa o simultánea a su ingreso. El primer periodo de capacitación obligatorio bajo este esquema corre del 1 de enero al 31 de diciembre de 2027, y la evidencia respectiva se conserva por 10 años.</w:t>
      </w:r>
    </w:p>
    <w:p>
      <w:pPr>
        <w:spacing w:after="160" w:before="60"/>
      </w:pPr>
      <w:r>
        <w:rPr>
          <w:i/>
          <w:iCs/>
          <w:color w:val="666666"/>
          <w:sz w:val="19"/>
          <w:szCs w:val="19"/>
        </w:rPr>
        <w:t xml:space="preserve">Ver Documentos D11, D11B y D11C, y la Declaración de Selección de Personal (Capítulo 3.2).</w:t>
      </w:r>
    </w:p>
    <w:p>
      <w:pPr>
        <w:pStyle w:val="Heading2"/>
        <w:spacing w:after="120" w:before="320"/>
      </w:pPr>
      <w:r>
        <w:t xml:space="preserve">Capítulo 18. Mecanismos automatizados</w:t>
      </w:r>
    </w:p>
    <w:p>
      <w:pPr>
        <w:spacing w:after="120"/>
      </w:pPr>
      <w:r>
        <w:rPr>
          <w:sz w:val="20"/>
          <w:szCs w:val="20"/>
        </w:rPr>
        <w:t xml:space="preserve">Conforme al Art. 41 de las RCG, la empresa deberá contar, a más tardar el 1 de junio de 2027, con mecanismos automatizados —adecuados a su volumen, naturaleza y Riesgo— que permitan: conservar y consultar los expedientes de identificación; agrupar y monitorear los actos u operaciones de cada cliente; alimentar la metodología EBR; ejecutar el modelo de clasificación de Grado de Riesgo conservando su historial; operar el sistema de alertas; y dar seguimiento al uso de efectivo y metales preciosos. Estos mecanismos deberán contener información de los actos u operaciones realizados a partir de esa fecha.</w:t>
      </w:r>
    </w:p>
    <w:p>
      <w:pPr>
        <w:pStyle w:val="Heading2"/>
        <w:spacing w:after="120" w:before="320"/>
      </w:pPr>
      <w:r>
        <w:t xml:space="preserve">Capítulo 19. Auditoría anual</w:t>
      </w:r>
    </w:p>
    <w:p>
      <w:pPr>
        <w:spacing w:after="120"/>
      </w:pPr>
      <w:r>
        <w:rPr>
          <w:sz w:val="20"/>
          <w:szCs w:val="20"/>
        </w:rPr>
        <w:t xml:space="preserve">La empresa contará con una auditoría anual —obligatoria conforme al Capítulo XIV de las RCG (Art. 42 a 51)— que evalúe y dictamine la efectividad del cumplimiento de la Ley, su Reglamento y las RCG, del 1 de enero al 31 de diciembre de cada año. El primer periodo auditado bajo esta obligación corre de enero a diciembre de 2028, y el dictamen deberá entregarse a más tardar el último día hábil de marzo del año siguiente.</w:t>
      </w:r>
    </w:p>
    <w:p>
      <w:pPr>
        <w:spacing w:after="120"/>
      </w:pPr>
      <w:r>
        <w:rPr>
          <w:sz w:val="20"/>
          <w:szCs w:val="20"/>
        </w:rPr>
        <w:t xml:space="preserve">Cuando el Grado de Riesgo de la empresa sea bajo o medio conforme a la metodología EBR, la auditoría podrá ser realizada por un área de auditoría interna independiente del Representante Encargado de Cumplimiento. Cuando el Riesgo sea alto, o la empresa así lo decida, la auditoría deberá realizarla una persona auditora externa independiente que cuente con título profesional y cédula en derecho, contaduría, finanzas, administración o informática, al menos tres años de experiencia en la materia, y certificación vigente de la UIF.</w:t>
      </w:r>
    </w:p>
    <w:p>
      <w:pPr>
        <w:spacing w:after="120"/>
      </w:pPr>
      <w:r>
        <w:rPr>
          <w:sz w:val="20"/>
          <w:szCs w:val="20"/>
        </w:rPr>
        <w:t xml:space="preserve">El dictamen se estructura en siete secciones (presentación, objeto, volumen y muestreo, proceso de auditoría, hallazgos, resultados de cumplimiento, y acciones correctivas) y califica cada obligación evaluada en una de cinco categorías: Cumple, Cumple mayoritariamente, Cumple parcialmente, No cumple, o No aplica.</w:t>
      </w:r>
    </w:p>
    <w:p>
      <w:pPr>
        <w:spacing w:after="160" w:before="60"/>
      </w:pPr>
      <w:r>
        <w:rPr>
          <w:i/>
          <w:iCs/>
          <w:color w:val="666666"/>
          <w:sz w:val="19"/>
          <w:szCs w:val="19"/>
        </w:rPr>
        <w:t xml:space="preserve">Ver Documento D13 — Informe de Auditoría PLD.</w:t>
      </w:r>
    </w:p>
    <w:p>
      <w:pPr>
        <w:pStyle w:val="Heading2"/>
        <w:spacing w:after="120" w:before="320"/>
      </w:pPr>
      <w:r>
        <w:t xml:space="preserve">Capítulo 20. Confidencialidad</w:t>
      </w:r>
    </w:p>
    <w:p>
      <w:pPr>
        <w:spacing w:after="120"/>
      </w:pPr>
      <w:r>
        <w:rPr>
          <w:sz w:val="20"/>
          <w:szCs w:val="20"/>
        </w:rPr>
        <w:t xml:space="preserve">Todo el personal de la empresa, sus directivos, funcionarios, el Representante Encargado de Cumplimiento, empleados y apoderados deberán mantener absoluta confidencialidad sobre la información, documentación y actos u operaciones relacionados con las Actividades Vulnerables, incluida la relativa al Beneficiario Controlador y a los Avisos presentados, salvo cuando la solicite la UIF, el SAT u otra autoridad facultada (Art. 31 RCG). Queda prohibido alertar al cliente o a terceros sobre cualquier referencia hecha en un Aviso, sobre requerimientos de información recibidos, o sobre la existencia de órdenes de aseguramiento antes de su ejecución. Explicar al cliente las obligaciones que derivan de la Ley no constituye violación a este deber.</w:t>
      </w:r>
    </w:p>
    <w:p>
      <w:pPr>
        <w:pStyle w:val="Heading2"/>
        <w:spacing w:after="120" w:before="320"/>
      </w:pPr>
      <w:r>
        <w:t xml:space="preserve">Capítulo 21. Sanciones aplicables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600"/>
            <w:shd w:fill="1F3864" w:val="clear"/>
            <w:tcMar>
              <w:top w:type="dxa" w:w="70"/>
              <w:left w:type="dxa" w:w="100"/>
              <w:bottom w:type="dxa" w:w="70"/>
              <w:right w:type="dxa" w:w="100"/>
            </w:tcMar>
          </w:tcPr>
          <w:p>
            <w:r>
              <w:rPr>
                <w:b/>
                <w:bCs/>
                <w:color w:val="FFFFFF"/>
                <w:sz w:val="18"/>
                <w:szCs w:val="18"/>
              </w:rPr>
              <w:t xml:space="preserve">Infracción</w:t>
            </w:r>
          </w:p>
        </w:tc>
        <w:tc>
          <w:tcPr>
            <w:tcW w:type="dxa" w:w="2500"/>
            <w:shd w:fill="1F3864" w:val="clear"/>
            <w:tcMar>
              <w:top w:type="dxa" w:w="70"/>
              <w:left w:type="dxa" w:w="100"/>
              <w:bottom w:type="dxa" w:w="70"/>
              <w:right w:type="dxa" w:w="100"/>
            </w:tcMar>
          </w:tcPr>
          <w:p>
            <w:r>
              <w:rPr>
                <w:b/>
                <w:bCs/>
                <w:color w:val="FFFFFF"/>
                <w:sz w:val="18"/>
                <w:szCs w:val="18"/>
              </w:rPr>
              <w:t xml:space="preserve">Multa mínima estimada</w:t>
            </w:r>
          </w:p>
        </w:tc>
        <w:tc>
          <w:tcPr>
            <w:tcW w:type="dxa" w:w="2500"/>
            <w:shd w:fill="1F3864" w:val="clear"/>
            <w:tcMar>
              <w:top w:type="dxa" w:w="70"/>
              <w:left w:type="dxa" w:w="100"/>
              <w:bottom w:type="dxa" w:w="70"/>
              <w:right w:type="dxa" w:w="100"/>
            </w:tcMar>
          </w:tcPr>
          <w:p>
            <w:r>
              <w:rPr>
                <w:b/>
                <w:bCs/>
                <w:color w:val="FFFFFF"/>
                <w:sz w:val="18"/>
                <w:szCs w:val="18"/>
              </w:rPr>
              <w:t xml:space="preserve">Multa máxima estimada</w:t>
            </w:r>
          </w:p>
        </w:tc>
      </w:tr>
      <w:tr>
        <w:tc>
          <w:tcPr>
            <w:tcW w:type="dxa" w:w="4600"/>
            <w:tcMar>
              <w:top w:type="dxa" w:w="70"/>
              <w:left w:type="dxa" w:w="100"/>
              <w:bottom w:type="dxa" w:w="70"/>
              <w:right w:type="dxa" w:w="100"/>
            </w:tcMar>
          </w:tcPr>
          <w:p>
            <w:r>
              <w:rPr>
                <w:b w:val="false"/>
                <w:bCs w:val="false"/>
                <w:sz w:val="18"/>
                <w:szCs w:val="18"/>
              </w:rPr>
              <w:t xml:space="preserve">Omisión de registro ante SAT</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Falta de identificación del cliente</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Omisión de aviso mensual</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r>
        <w:tc>
          <w:tcPr>
            <w:tcW w:type="dxa" w:w="4600"/>
            <w:tcMar>
              <w:top w:type="dxa" w:w="70"/>
              <w:left w:type="dxa" w:w="100"/>
              <w:bottom w:type="dxa" w:w="70"/>
              <w:right w:type="dxa" w:w="100"/>
            </w:tcMar>
          </w:tcPr>
          <w:p>
            <w:r>
              <w:rPr>
                <w:b w:val="false"/>
                <w:bCs w:val="false"/>
                <w:sz w:val="18"/>
                <w:szCs w:val="18"/>
              </w:rPr>
              <w:t xml:space="preserve">Falta de capacitación</w:t>
            </w:r>
          </w:p>
        </w:tc>
        <w:tc>
          <w:tcPr>
            <w:tcW w:type="dxa" w:w="2500"/>
            <w:tcMar>
              <w:top w:type="dxa" w:w="70"/>
              <w:left w:type="dxa" w:w="100"/>
              <w:bottom w:type="dxa" w:w="70"/>
              <w:right w:type="dxa" w:w="100"/>
            </w:tcMar>
          </w:tcPr>
          <w:p>
            <w:r>
              <w:rPr>
                <w:b w:val="false"/>
                <w:bCs w:val="false"/>
                <w:sz w:val="18"/>
                <w:szCs w:val="18"/>
              </w:rPr>
              <w:t xml:space="preserve">200 UMA (~$23,462)</w:t>
            </w:r>
          </w:p>
        </w:tc>
        <w:tc>
          <w:tcPr>
            <w:tcW w:type="dxa" w:w="2500"/>
            <w:tcMar>
              <w:top w:type="dxa" w:w="70"/>
              <w:left w:type="dxa" w:w="100"/>
              <w:bottom w:type="dxa" w:w="70"/>
              <w:right w:type="dxa" w:w="100"/>
            </w:tcMar>
          </w:tcPr>
          <w:p>
            <w:r>
              <w:rPr>
                <w:b w:val="false"/>
                <w:bCs w:val="false"/>
                <w:sz w:val="18"/>
                <w:szCs w:val="18"/>
              </w:rPr>
              <w:t xml:space="preserve">2,000 UMA (~$234,620)</w:t>
            </w:r>
          </w:p>
        </w:tc>
      </w:tr>
      <w:tr>
        <w:tc>
          <w:tcPr>
            <w:tcW w:type="dxa" w:w="4600"/>
            <w:tcMar>
              <w:top w:type="dxa" w:w="70"/>
              <w:left w:type="dxa" w:w="100"/>
              <w:bottom w:type="dxa" w:w="70"/>
              <w:right w:type="dxa" w:w="100"/>
            </w:tcMar>
          </w:tcPr>
          <w:p>
            <w:r>
              <w:rPr>
                <w:b w:val="false"/>
                <w:bCs w:val="false"/>
                <w:sz w:val="18"/>
                <w:szCs w:val="18"/>
              </w:rPr>
              <w:t xml:space="preserve">Violación restricción de efectivo</w:t>
            </w:r>
          </w:p>
        </w:tc>
        <w:tc>
          <w:tcPr>
            <w:tcW w:type="dxa" w:w="2500"/>
            <w:tcMar>
              <w:top w:type="dxa" w:w="70"/>
              <w:left w:type="dxa" w:w="100"/>
              <w:bottom w:type="dxa" w:w="70"/>
              <w:right w:type="dxa" w:w="100"/>
            </w:tcMar>
          </w:tcPr>
          <w:p>
            <w:r>
              <w:rPr>
                <w:b w:val="false"/>
                <w:bCs w:val="false"/>
                <w:sz w:val="18"/>
                <w:szCs w:val="18"/>
              </w:rPr>
              <w:t xml:space="preserve">10,000 UMA (~$1,173,100)</w:t>
            </w:r>
          </w:p>
        </w:tc>
        <w:tc>
          <w:tcPr>
            <w:tcW w:type="dxa" w:w="2500"/>
            <w:tcMar>
              <w:top w:type="dxa" w:w="70"/>
              <w:left w:type="dxa" w:w="100"/>
              <w:bottom w:type="dxa" w:w="70"/>
              <w:right w:type="dxa" w:w="100"/>
            </w:tcMar>
          </w:tcPr>
          <w:p>
            <w:r>
              <w:rPr>
                <w:b w:val="false"/>
                <w:bCs w:val="false"/>
                <w:sz w:val="18"/>
                <w:szCs w:val="18"/>
              </w:rPr>
              <w:t xml:space="preserve">65,000 UMA (~$7,625,150) o 10%–100% del valor del acto, el mayor</w:t>
            </w:r>
          </w:p>
        </w:tc>
      </w:tr>
    </w:tbl>
    <w:p>
      <w:pPr>
        <w:spacing w:after="160" w:before="60"/>
      </w:pPr>
      <w:r>
        <w:rPr>
          <w:i/>
          <w:iCs/>
          <w:color w:val="666666"/>
          <w:sz w:val="19"/>
          <w:szCs w:val="19"/>
        </w:rPr>
        <w:t xml:space="preserve">Fuente: Arts. 53 y 54 de la LFPIORPI (UMA 2026: $117.31). Incumplir las obligaciones del Art. 18, o presentar el Aviso extemporáneamente dentro de los 30 días siguientes al plazo: 200 a 2,000 UMA. Omitir Avisos o participar en actos prohibidos por el Art. 32: 10,000 a 65,000 UMA, o 10% a 100% del valor del acto, la que resulte mayor. Art. 55: beneficio de cumplimiento espontáneo. Actualizar los montos cada enero con la UMA vigente.</w:t>
      </w:r>
    </w:p>
    <w:p>
      <w:pPr>
        <w:pStyle w:val="Heading2"/>
        <w:spacing w:after="120" w:before="320"/>
      </w:pPr>
      <w:r>
        <w:t xml:space="preserve">Capítulo 22. Actualización del Manual</w:t>
      </w:r>
    </w:p>
    <w:p>
      <w:pPr>
        <w:spacing w:after="120"/>
      </w:pPr>
      <w:r>
        <w:rPr>
          <w:sz w:val="20"/>
          <w:szCs w:val="20"/>
        </w:rPr>
        <w:t xml:space="preserve">Este Manual será revisado y actualizado al menos una vez al año, cuando se publiquen reformas a la LFPIORPI, su Reglamento o las Reglas de Carácter General —como el Acuerdo 115/2026—, o cuando cambien las actividades de la empresa. Certus Consultores, a través del Programa Certus PLD, notificará al Representante Encargado de Cumplimiento toda actualización normativa relevante.</w:t>
      </w:r>
    </w:p>
    <w:p>
      <w:pPr>
        <w:pStyle w:val="Heading2"/>
        <w:spacing w:after="120" w:before="320"/>
      </w:pPr>
      <w:r>
        <w:t xml:space="preserve">Capítulo 23. Glosario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Mar>
              <w:top w:type="dxa" w:w="70"/>
              <w:left w:type="dxa" w:w="100"/>
              <w:bottom w:type="dxa" w:w="70"/>
              <w:right w:type="dxa" w:w="100"/>
            </w:tcMar>
          </w:tcPr>
          <w:p>
            <w:r>
              <w:rPr>
                <w:b/>
                <w:bCs/>
                <w:color w:val="FFFFFF"/>
                <w:sz w:val="18"/>
                <w:szCs w:val="18"/>
              </w:rPr>
              <w:t xml:space="preserve">Término</w:t>
            </w:r>
          </w:p>
        </w:tc>
        <w:tc>
          <w:tcPr>
            <w:tcW w:type="dxa" w:w="7200"/>
            <w:shd w:fill="1F3864" w:val="clear"/>
            <w:tcMar>
              <w:top w:type="dxa" w:w="70"/>
              <w:left w:type="dxa" w:w="100"/>
              <w:bottom w:type="dxa" w:w="70"/>
              <w:right w:type="dxa" w:w="100"/>
            </w:tcMar>
          </w:tcPr>
          <w:p>
            <w:r>
              <w:rPr>
                <w:b/>
                <w:bCs/>
                <w:color w:val="FFFFFF"/>
                <w:sz w:val="18"/>
                <w:szCs w:val="18"/>
              </w:rPr>
              <w:t xml:space="preserve">Definición</w:t>
            </w:r>
          </w:p>
        </w:tc>
      </w:tr>
      <w:tr>
        <w:tc>
          <w:tcPr>
            <w:tcW w:type="dxa" w:w="2400"/>
            <w:tcMar>
              <w:top w:type="dxa" w:w="70"/>
              <w:left w:type="dxa" w:w="100"/>
              <w:bottom w:type="dxa" w:w="70"/>
              <w:right w:type="dxa" w:w="100"/>
            </w:tcMar>
          </w:tcPr>
          <w:p>
            <w:r>
              <w:rPr>
                <w:b w:val="false"/>
                <w:bCs w:val="false"/>
                <w:sz w:val="18"/>
                <w:szCs w:val="18"/>
              </w:rPr>
              <w:t xml:space="preserve">Beneficiario Controlador</w:t>
            </w:r>
          </w:p>
        </w:tc>
        <w:tc>
          <w:tcPr>
            <w:tcW w:type="dxa" w:w="7200"/>
            <w:tcMar>
              <w:top w:type="dxa" w:w="70"/>
              <w:left w:type="dxa" w:w="100"/>
              <w:bottom w:type="dxa" w:w="70"/>
              <w:right w:type="dxa" w:w="100"/>
            </w:tcMar>
          </w:tcPr>
          <w:p>
            <w:r>
              <w:rPr>
                <w:b w:val="false"/>
                <w:bCs w:val="false"/>
                <w:sz w:val="18"/>
                <w:szCs w:val="18"/>
              </w:rPr>
              <w:t xml:space="preserve">Persona física que en última instancia obtiene el beneficio o ejerce el control efectivo de un acto, operación o persona moral.</w:t>
            </w:r>
          </w:p>
        </w:tc>
      </w:tr>
      <w:tr>
        <w:tc>
          <w:tcPr>
            <w:tcW w:type="dxa" w:w="2400"/>
            <w:tcMar>
              <w:top w:type="dxa" w:w="70"/>
              <w:left w:type="dxa" w:w="100"/>
              <w:bottom w:type="dxa" w:w="70"/>
              <w:right w:type="dxa" w:w="100"/>
            </w:tcMar>
          </w:tcPr>
          <w:p>
            <w:r>
              <w:rPr>
                <w:b w:val="false"/>
                <w:bCs w:val="false"/>
                <w:sz w:val="18"/>
                <w:szCs w:val="18"/>
              </w:rPr>
              <w:t xml:space="preserve">Certus PLD</w:t>
            </w:r>
          </w:p>
        </w:tc>
        <w:tc>
          <w:tcPr>
            <w:tcW w:type="dxa" w:w="7200"/>
            <w:tcMar>
              <w:top w:type="dxa" w:w="70"/>
              <w:left w:type="dxa" w:w="100"/>
              <w:bottom w:type="dxa" w:w="70"/>
              <w:right w:type="dxa" w:w="100"/>
            </w:tcMar>
          </w:tcPr>
          <w:p>
            <w:r>
              <w:rPr>
                <w:b w:val="false"/>
                <w:bCs w:val="false"/>
                <w:sz w:val="18"/>
                <w:szCs w:val="18"/>
              </w:rPr>
              <w:t xml:space="preserve">Programa de Cumplimiento PLD/FT para Inmobiliarias de Certus Consultores.</w:t>
            </w:r>
          </w:p>
        </w:tc>
      </w:tr>
      <w:tr>
        <w:tc>
          <w:tcPr>
            <w:tcW w:type="dxa" w:w="2400"/>
            <w:tcMar>
              <w:top w:type="dxa" w:w="70"/>
              <w:left w:type="dxa" w:w="100"/>
              <w:bottom w:type="dxa" w:w="70"/>
              <w:right w:type="dxa" w:w="100"/>
            </w:tcMar>
          </w:tcPr>
          <w:p>
            <w:r>
              <w:rPr>
                <w:b w:val="false"/>
                <w:bCs w:val="false"/>
                <w:sz w:val="18"/>
                <w:szCs w:val="18"/>
              </w:rPr>
              <w:t xml:space="preserve">EBR</w:t>
            </w:r>
          </w:p>
        </w:tc>
        <w:tc>
          <w:tcPr>
            <w:tcW w:type="dxa" w:w="7200"/>
            <w:tcMar>
              <w:top w:type="dxa" w:w="70"/>
              <w:left w:type="dxa" w:w="100"/>
              <w:bottom w:type="dxa" w:w="70"/>
              <w:right w:type="dxa" w:w="100"/>
            </w:tcMar>
          </w:tcPr>
          <w:p>
            <w:r>
              <w:rPr>
                <w:b w:val="false"/>
                <w:bCs w:val="false"/>
                <w:sz w:val="18"/>
                <w:szCs w:val="18"/>
              </w:rPr>
              <w:t xml:space="preserve">Enfoque Basado en Riesgo — metodología de evaluación de Riesgo de clientes (Cap. II Quáter RCG).</w:t>
            </w:r>
          </w:p>
        </w:tc>
      </w:tr>
      <w:tr>
        <w:tc>
          <w:tcPr>
            <w:tcW w:type="dxa" w:w="2400"/>
            <w:tcMar>
              <w:top w:type="dxa" w:w="70"/>
              <w:left w:type="dxa" w:w="100"/>
              <w:bottom w:type="dxa" w:w="70"/>
              <w:right w:type="dxa" w:w="100"/>
            </w:tcMar>
          </w:tcPr>
          <w:p>
            <w:r>
              <w:rPr>
                <w:b w:val="false"/>
                <w:bCs w:val="false"/>
                <w:sz w:val="18"/>
                <w:szCs w:val="18"/>
              </w:rPr>
              <w:t xml:space="preserve">Evaluación Nacional de Riesgos</w:t>
            </w:r>
          </w:p>
        </w:tc>
        <w:tc>
          <w:tcPr>
            <w:tcW w:type="dxa" w:w="7200"/>
            <w:tcMar>
              <w:top w:type="dxa" w:w="70"/>
              <w:left w:type="dxa" w:w="100"/>
              <w:bottom w:type="dxa" w:w="70"/>
              <w:right w:type="dxa" w:w="100"/>
            </w:tcMar>
          </w:tcPr>
          <w:p>
            <w:r>
              <w:rPr>
                <w:b w:val="false"/>
                <w:bCs w:val="false"/>
                <w:sz w:val="18"/>
                <w:szCs w:val="18"/>
              </w:rPr>
              <w:t xml:space="preserve">Documento que emite y actualiza la UIF y da a conocer a través del Portal en Internet (Art. 3 fr. VIII Bis RCG).</w:t>
            </w:r>
          </w:p>
        </w:tc>
      </w:tr>
      <w:tr>
        <w:tc>
          <w:tcPr>
            <w:tcW w:type="dxa" w:w="2400"/>
            <w:tcMar>
              <w:top w:type="dxa" w:w="70"/>
              <w:left w:type="dxa" w:w="100"/>
              <w:bottom w:type="dxa" w:w="70"/>
              <w:right w:type="dxa" w:w="100"/>
            </w:tcMar>
          </w:tcPr>
          <w:p>
            <w:r>
              <w:rPr>
                <w:b w:val="false"/>
                <w:bCs w:val="false"/>
                <w:sz w:val="18"/>
                <w:szCs w:val="18"/>
              </w:rPr>
              <w:t xml:space="preserve">Grado de Riesgo</w:t>
            </w:r>
          </w:p>
        </w:tc>
        <w:tc>
          <w:tcPr>
            <w:tcW w:type="dxa" w:w="7200"/>
            <w:tcMar>
              <w:top w:type="dxa" w:w="70"/>
              <w:left w:type="dxa" w:w="100"/>
              <w:bottom w:type="dxa" w:w="70"/>
              <w:right w:type="dxa" w:w="100"/>
            </w:tcMar>
          </w:tcPr>
          <w:p>
            <w:r>
              <w:rPr>
                <w:b w:val="false"/>
                <w:bCs w:val="false"/>
                <w:sz w:val="18"/>
                <w:szCs w:val="18"/>
              </w:rPr>
              <w:t xml:space="preserve">Clasificación que otorga la empresa a sus clientes con base en la evaluación de Riesgo (Art. 3 fr. IX Bis RCG).</w:t>
            </w:r>
          </w:p>
        </w:tc>
      </w:tr>
      <w:tr>
        <w:tc>
          <w:tcPr>
            <w:tcW w:type="dxa" w:w="2400"/>
            <w:tcMar>
              <w:top w:type="dxa" w:w="70"/>
              <w:left w:type="dxa" w:w="100"/>
              <w:bottom w:type="dxa" w:w="70"/>
              <w:right w:type="dxa" w:w="100"/>
            </w:tcMar>
          </w:tcPr>
          <w:p>
            <w:r>
              <w:rPr>
                <w:b w:val="false"/>
                <w:bCs w:val="false"/>
                <w:sz w:val="18"/>
                <w:szCs w:val="18"/>
              </w:rPr>
              <w:t xml:space="preserve">KYC</w:t>
            </w:r>
          </w:p>
        </w:tc>
        <w:tc>
          <w:tcPr>
            <w:tcW w:type="dxa" w:w="7200"/>
            <w:tcMar>
              <w:top w:type="dxa" w:w="70"/>
              <w:left w:type="dxa" w:w="100"/>
              <w:bottom w:type="dxa" w:w="70"/>
              <w:right w:type="dxa" w:w="100"/>
            </w:tcMar>
          </w:tcPr>
          <w:p>
            <w:r>
              <w:rPr>
                <w:b w:val="false"/>
                <w:bCs w:val="false"/>
                <w:sz w:val="18"/>
                <w:szCs w:val="18"/>
              </w:rPr>
              <w:t xml:space="preserve">Know Your Customer — proceso de identificación y verificación del cliente.</w:t>
            </w:r>
          </w:p>
        </w:tc>
      </w:tr>
      <w:tr>
        <w:tc>
          <w:tcPr>
            <w:tcW w:type="dxa" w:w="2400"/>
            <w:tcMar>
              <w:top w:type="dxa" w:w="70"/>
              <w:left w:type="dxa" w:w="100"/>
              <w:bottom w:type="dxa" w:w="70"/>
              <w:right w:type="dxa" w:w="100"/>
            </w:tcMar>
          </w:tcPr>
          <w:p>
            <w:r>
              <w:rPr>
                <w:b w:val="false"/>
                <w:bCs w:val="false"/>
                <w:sz w:val="18"/>
                <w:szCs w:val="18"/>
              </w:rPr>
              <w:t xml:space="preserve">LFPIORPI</w:t>
            </w:r>
          </w:p>
        </w:tc>
        <w:tc>
          <w:tcPr>
            <w:tcW w:type="dxa" w:w="7200"/>
            <w:tcMar>
              <w:top w:type="dxa" w:w="70"/>
              <w:left w:type="dxa" w:w="100"/>
              <w:bottom w:type="dxa" w:w="70"/>
              <w:right w:type="dxa" w:w="100"/>
            </w:tcMar>
          </w:tcPr>
          <w:p>
            <w:r>
              <w:rPr>
                <w:b w:val="false"/>
                <w:bCs w:val="false"/>
                <w:sz w:val="18"/>
                <w:szCs w:val="18"/>
              </w:rPr>
              <w:t xml:space="preserve">Ley Federal para la Prevención e Identificación de Operaciones con Recursos de Procedencia Ilícita.</w:t>
            </w:r>
          </w:p>
        </w:tc>
      </w:tr>
      <w:tr>
        <w:tc>
          <w:tcPr>
            <w:tcW w:type="dxa" w:w="2400"/>
            <w:tcMar>
              <w:top w:type="dxa" w:w="70"/>
              <w:left w:type="dxa" w:w="100"/>
              <w:bottom w:type="dxa" w:w="70"/>
              <w:right w:type="dxa" w:w="100"/>
            </w:tcMar>
          </w:tcPr>
          <w:p>
            <w:r>
              <w:rPr>
                <w:b w:val="false"/>
                <w:bCs w:val="false"/>
                <w:sz w:val="18"/>
                <w:szCs w:val="18"/>
              </w:rPr>
              <w:t xml:space="preserve">Manual de Políticas Internas</w:t>
            </w:r>
          </w:p>
        </w:tc>
        <w:tc>
          <w:tcPr>
            <w:tcW w:type="dxa" w:w="7200"/>
            <w:tcMar>
              <w:top w:type="dxa" w:w="70"/>
              <w:left w:type="dxa" w:w="100"/>
              <w:bottom w:type="dxa" w:w="70"/>
              <w:right w:type="dxa" w:w="100"/>
            </w:tcMar>
          </w:tcPr>
          <w:p>
            <w:r>
              <w:rPr>
                <w:b w:val="false"/>
                <w:bCs w:val="false"/>
                <w:sz w:val="18"/>
                <w:szCs w:val="18"/>
              </w:rPr>
              <w:t xml:space="preserve">El presente documento (Art. 3 fr. XI Bis RCG).</w:t>
            </w:r>
          </w:p>
        </w:tc>
      </w:tr>
      <w:tr>
        <w:tc>
          <w:tcPr>
            <w:tcW w:type="dxa" w:w="2400"/>
            <w:tcMar>
              <w:top w:type="dxa" w:w="70"/>
              <w:left w:type="dxa" w:w="100"/>
              <w:bottom w:type="dxa" w:w="70"/>
              <w:right w:type="dxa" w:w="100"/>
            </w:tcMar>
          </w:tcPr>
          <w:p>
            <w:r>
              <w:rPr>
                <w:b w:val="false"/>
                <w:bCs w:val="false"/>
                <w:sz w:val="18"/>
                <w:szCs w:val="18"/>
              </w:rPr>
              <w:t xml:space="preserve">Mecanismos automatizados</w:t>
            </w:r>
          </w:p>
        </w:tc>
        <w:tc>
          <w:tcPr>
            <w:tcW w:type="dxa" w:w="7200"/>
            <w:tcMar>
              <w:top w:type="dxa" w:w="70"/>
              <w:left w:type="dxa" w:w="100"/>
              <w:bottom w:type="dxa" w:w="70"/>
              <w:right w:type="dxa" w:w="100"/>
            </w:tcMar>
          </w:tcPr>
          <w:p>
            <w:r>
              <w:rPr>
                <w:b w:val="false"/>
                <w:bCs w:val="false"/>
                <w:sz w:val="18"/>
                <w:szCs w:val="18"/>
              </w:rPr>
              <w:t xml:space="preserve">Procesos, sistemas o herramientas tecnológicas que permiten revisar de manera continua los actos u operaciones (Art. 3 fr. XI Ter RCG).</w:t>
            </w:r>
          </w:p>
        </w:tc>
      </w:tr>
      <w:tr>
        <w:tc>
          <w:tcPr>
            <w:tcW w:type="dxa" w:w="2400"/>
            <w:tcMar>
              <w:top w:type="dxa" w:w="70"/>
              <w:left w:type="dxa" w:w="100"/>
              <w:bottom w:type="dxa" w:w="70"/>
              <w:right w:type="dxa" w:w="100"/>
            </w:tcMar>
          </w:tcPr>
          <w:p>
            <w:r>
              <w:rPr>
                <w:b w:val="false"/>
                <w:bCs w:val="false"/>
                <w:sz w:val="18"/>
                <w:szCs w:val="18"/>
              </w:rPr>
              <w:t xml:space="preserve">Mitigantes</w:t>
            </w:r>
          </w:p>
        </w:tc>
        <w:tc>
          <w:tcPr>
            <w:tcW w:type="dxa" w:w="7200"/>
            <w:tcMar>
              <w:top w:type="dxa" w:w="70"/>
              <w:left w:type="dxa" w:w="100"/>
              <w:bottom w:type="dxa" w:w="70"/>
              <w:right w:type="dxa" w:w="100"/>
            </w:tcMar>
          </w:tcPr>
          <w:p>
            <w:r>
              <w:rPr>
                <w:b w:val="false"/>
                <w:bCs w:val="false"/>
                <w:sz w:val="18"/>
                <w:szCs w:val="18"/>
              </w:rPr>
              <w:t xml:space="preserve">Políticas, criterios, medidas y procedimientos que ayudan a administrar y disminuir la exposición a los Riesgos identificados (Art. 3 fr. XI Quinquies RCG).</w:t>
            </w:r>
          </w:p>
        </w:tc>
      </w:tr>
      <w:tr>
        <w:tc>
          <w:tcPr>
            <w:tcW w:type="dxa" w:w="2400"/>
            <w:tcMar>
              <w:top w:type="dxa" w:w="70"/>
              <w:left w:type="dxa" w:w="100"/>
              <w:bottom w:type="dxa" w:w="70"/>
              <w:right w:type="dxa" w:w="100"/>
            </w:tcMar>
          </w:tcPr>
          <w:p>
            <w:r>
              <w:rPr>
                <w:b w:val="false"/>
                <w:bCs w:val="false"/>
                <w:sz w:val="18"/>
                <w:szCs w:val="18"/>
              </w:rPr>
              <w:t xml:space="preserve">PEP</w:t>
            </w:r>
          </w:p>
        </w:tc>
        <w:tc>
          <w:tcPr>
            <w:tcW w:type="dxa" w:w="7200"/>
            <w:tcMar>
              <w:top w:type="dxa" w:w="70"/>
              <w:left w:type="dxa" w:w="100"/>
              <w:bottom w:type="dxa" w:w="70"/>
              <w:right w:type="dxa" w:w="100"/>
            </w:tcMar>
          </w:tcPr>
          <w:p>
            <w:r>
              <w:rPr>
                <w:b w:val="false"/>
                <w:bCs w:val="false"/>
                <w:sz w:val="18"/>
                <w:szCs w:val="18"/>
              </w:rPr>
              <w:t xml:space="preserve">Persona Políticamente Expuesta.</w:t>
            </w:r>
          </w:p>
        </w:tc>
      </w:tr>
      <w:tr>
        <w:tc>
          <w:tcPr>
            <w:tcW w:type="dxa" w:w="2400"/>
            <w:tcMar>
              <w:top w:type="dxa" w:w="70"/>
              <w:left w:type="dxa" w:w="100"/>
              <w:bottom w:type="dxa" w:w="70"/>
              <w:right w:type="dxa" w:w="100"/>
            </w:tcMar>
          </w:tcPr>
          <w:p>
            <w:r>
              <w:rPr>
                <w:b w:val="false"/>
                <w:bCs w:val="false"/>
                <w:sz w:val="18"/>
                <w:szCs w:val="18"/>
              </w:rPr>
              <w:t xml:space="preserve">Perfil Transaccional</w:t>
            </w:r>
          </w:p>
        </w:tc>
        <w:tc>
          <w:tcPr>
            <w:tcW w:type="dxa" w:w="7200"/>
            <w:tcMar>
              <w:top w:type="dxa" w:w="70"/>
              <w:left w:type="dxa" w:w="100"/>
              <w:bottom w:type="dxa" w:w="70"/>
              <w:right w:type="dxa" w:w="100"/>
            </w:tcMar>
          </w:tcPr>
          <w:p>
            <w:r>
              <w:rPr>
                <w:b w:val="false"/>
                <w:bCs w:val="false"/>
                <w:sz w:val="18"/>
                <w:szCs w:val="18"/>
              </w:rPr>
              <w:t xml:space="preserve">Conjunto de elementos que permiten identificar el comportamiento esperado de los actos u operaciones de un cliente (Art. 3 fr. XI Sexties RCG).</w:t>
            </w:r>
          </w:p>
        </w:tc>
      </w:tr>
      <w:tr>
        <w:tc>
          <w:tcPr>
            <w:tcW w:type="dxa" w:w="2400"/>
            <w:tcMar>
              <w:top w:type="dxa" w:w="70"/>
              <w:left w:type="dxa" w:w="100"/>
              <w:bottom w:type="dxa" w:w="70"/>
              <w:right w:type="dxa" w:w="100"/>
            </w:tcMar>
          </w:tcPr>
          <w:p>
            <w:r>
              <w:rPr>
                <w:b w:val="false"/>
                <w:bCs w:val="false"/>
                <w:sz w:val="18"/>
                <w:szCs w:val="18"/>
              </w:rPr>
              <w:t xml:space="preserve">PLD/FT</w:t>
            </w:r>
          </w:p>
        </w:tc>
        <w:tc>
          <w:tcPr>
            <w:tcW w:type="dxa" w:w="7200"/>
            <w:tcMar>
              <w:top w:type="dxa" w:w="70"/>
              <w:left w:type="dxa" w:w="100"/>
              <w:bottom w:type="dxa" w:w="70"/>
              <w:right w:type="dxa" w:w="100"/>
            </w:tcMar>
          </w:tcPr>
          <w:p>
            <w:r>
              <w:rPr>
                <w:b w:val="false"/>
                <w:bCs w:val="false"/>
                <w:sz w:val="18"/>
                <w:szCs w:val="18"/>
              </w:rPr>
              <w:t xml:space="preserve">Prevención de Lavado de Dinero y Financiamiento al Terrorismo.</w:t>
            </w:r>
          </w:p>
        </w:tc>
      </w:tr>
      <w:tr>
        <w:tc>
          <w:tcPr>
            <w:tcW w:type="dxa" w:w="2400"/>
            <w:tcMar>
              <w:top w:type="dxa" w:w="70"/>
              <w:left w:type="dxa" w:w="100"/>
              <w:bottom w:type="dxa" w:w="70"/>
              <w:right w:type="dxa" w:w="100"/>
            </w:tcMar>
          </w:tcPr>
          <w:p>
            <w:r>
              <w:rPr>
                <w:b w:val="false"/>
                <w:bCs w:val="false"/>
                <w:sz w:val="18"/>
                <w:szCs w:val="18"/>
              </w:rPr>
              <w:t xml:space="preserve">SPPLD</w:t>
            </w:r>
          </w:p>
        </w:tc>
        <w:tc>
          <w:tcPr>
            <w:tcW w:type="dxa" w:w="7200"/>
            <w:tcMar>
              <w:top w:type="dxa" w:w="70"/>
              <w:left w:type="dxa" w:w="100"/>
              <w:bottom w:type="dxa" w:w="70"/>
              <w:right w:type="dxa" w:w="100"/>
            </w:tcMar>
          </w:tcPr>
          <w:p>
            <w:r>
              <w:rPr>
                <w:b w:val="false"/>
                <w:bCs w:val="false"/>
                <w:sz w:val="18"/>
                <w:szCs w:val="18"/>
              </w:rPr>
              <w:t xml:space="preserve">Sistema de Portal para la Prevención del Lavado de Dinero — portal del SAT.</w:t>
            </w:r>
          </w:p>
        </w:tc>
      </w:tr>
      <w:tr>
        <w:tc>
          <w:tcPr>
            <w:tcW w:type="dxa" w:w="2400"/>
            <w:tcMar>
              <w:top w:type="dxa" w:w="70"/>
              <w:left w:type="dxa" w:w="100"/>
              <w:bottom w:type="dxa" w:w="70"/>
              <w:right w:type="dxa" w:w="100"/>
            </w:tcMar>
          </w:tcPr>
          <w:p>
            <w:r>
              <w:rPr>
                <w:b w:val="false"/>
                <w:bCs w:val="false"/>
                <w:sz w:val="18"/>
                <w:szCs w:val="18"/>
              </w:rPr>
              <w:t xml:space="preserve">UMA</w:t>
            </w:r>
          </w:p>
        </w:tc>
        <w:tc>
          <w:tcPr>
            <w:tcW w:type="dxa" w:w="7200"/>
            <w:tcMar>
              <w:top w:type="dxa" w:w="70"/>
              <w:left w:type="dxa" w:w="100"/>
              <w:bottom w:type="dxa" w:w="70"/>
              <w:right w:type="dxa" w:w="100"/>
            </w:tcMar>
          </w:tcPr>
          <w:p>
            <w:r>
              <w:rPr>
                <w:b w:val="false"/>
                <w:bCs w:val="false"/>
                <w:sz w:val="18"/>
                <w:szCs w:val="18"/>
              </w:rPr>
              <w:t xml:space="preserve">Unidad de Medida y Actualización — $117.31 MXN diarios en 2026 (INEGI).</w:t>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2026-08-11T13:49:40.480Z</dcterms:created>
  <dcterms:modified xsi:type="dcterms:W3CDTF">2026-08-11T13:49:40.503Z</dcterms:modified>
</cp:coreProperties>
</file>

<file path=docProps/custom.xml><?xml version="1.0" encoding="utf-8"?>
<Properties xmlns="http://schemas.openxmlformats.org/officeDocument/2006/custom-properties" xmlns:vt="http://schemas.openxmlformats.org/officeDocument/2006/docPropsVTypes"/>
</file>