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D4-NOT </w:t>
            </w:r>
            <w:r>
              <w:rPr>
                <w:rFonts w:ascii="Calibri" w:cs="Calibri" w:eastAsia="Calibri" w:hAnsi="Calibri"/>
                <w:b/>
                <w:bCs/>
                <w:color w:val="FFFFFF"/>
                <w:sz w:val="22"/>
                <w:szCs w:val="22"/>
              </w:rPr>
              <w:t xml:space="preserve">Gap Analysis PLD/FT — Matriz de Brecha (Notarías)</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Notaría:</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[Denominación completa]</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Fecha de diagnóstico:</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[Fecha]</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Evaluador:</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CERTUS CONSULTORES │ Certus PLD</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Correo:</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contacto@certusconsultores.com.mx │ Tel. 999 163 1363</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Versión:</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1.0 — Diagnóstico inicial</w:t>
            </w:r>
          </w:p>
        </w:tc>
      </w:tr>
    </w:tbl>
    <w:p/>
    <w:p>
      <w:pPr>
        <w:pBdr>
          <w:bottom w:val="single" w:color="B08D57" w:sz="6" w:space="2"/>
        </w:pBdr>
        <w:spacing w:after="120" w:before="240"/>
      </w:pPr>
      <w:r>
        <w:rPr>
          <w:rFonts w:ascii="Calibri" w:cs="Calibri" w:eastAsia="Calibri" w:hAnsi="Calibri"/>
          <w:b/>
          <w:bCs/>
          <w:color w:val="1F3864"/>
          <w:sz w:val="23"/>
          <w:szCs w:val="23"/>
        </w:rPr>
        <w:t xml:space="preserve">I. Instrucciones de uso</w:t>
      </w:r>
    </w:p>
    <w:p>
      <w:pPr>
        <w:spacing w:after="110"/>
      </w:pPr>
      <w:r>
        <w:rPr>
          <w:rFonts w:ascii="Calibri" w:cs="Calibri" w:eastAsia="Calibri" w:hAnsi="Calibri"/>
          <w:sz w:val="20"/>
          <w:szCs w:val="20"/>
        </w:rPr>
        <w:t xml:space="preserve">Esta matriz evalúa 14 rubros de cumplimiento PLD/FT aplicables a notarías bajo la Fracción XII, Apartado A del artículo 17. Para cada rubro se indica: el estatus actual (Cumple / Parcial / No Cumple), el nivel de riesgo (VERDE / AMARILLO / ROJO), la multa máxima estimada y las acciones correctivas recomendadas. Marcar con X el estatus correspondiente.</w:t>
      </w:r>
    </w:p>
    <w:p>
      <w:pPr>
        <w:pBdr>
          <w:bottom w:val="single" w:color="B08D57" w:sz="6" w:space="2"/>
        </w:pBdr>
        <w:spacing w:after="120" w:before="240"/>
      </w:pPr>
      <w:r>
        <w:rPr>
          <w:rFonts w:ascii="Calibri" w:cs="Calibri" w:eastAsia="Calibri" w:hAnsi="Calibri"/>
          <w:b/>
          <w:bCs/>
          <w:color w:val="1F3864"/>
          <w:sz w:val="23"/>
          <w:szCs w:val="23"/>
        </w:rPr>
        <w:t xml:space="preserve">II. Matriz de brecha — 14 rubros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
        <w:gridCol w:w="2600"/>
        <w:gridCol w:w="1400"/>
        <w:gridCol w:w="1500"/>
        <w:gridCol w:w="1430"/>
        <w:gridCol w:w="2000"/>
      </w:tblGrid>
      <w:tr>
        <w:trPr>
          <w:tblHeader/>
        </w:trPr>
        <w:tc>
          <w:tcPr>
            <w:tcW w:type="dxa" w:w="42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No.</w:t>
            </w:r>
          </w:p>
        </w:tc>
        <w:tc>
          <w:tcPr>
            <w:tcW w:type="dxa" w:w="26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Rubro de Cumplimiento</w:t>
            </w:r>
          </w:p>
        </w:tc>
        <w:tc>
          <w:tcPr>
            <w:tcW w:type="dxa" w:w="14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Ref. Legal</w:t>
            </w:r>
          </w:p>
        </w:tc>
        <w:tc>
          <w:tcPr>
            <w:tcW w:type="dxa" w:w="15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Estatus</w:t>
            </w:r>
          </w:p>
        </w:tc>
        <w:tc>
          <w:tcPr>
            <w:tcW w:type="dxa" w:w="143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Semáf.</w:t>
            </w:r>
          </w:p>
        </w:tc>
        <w:tc>
          <w:tcPr>
            <w:tcW w:type="dxa" w:w="20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Multa Est.</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Registro personal ante el SAT (SPPLD) — D3-NOT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17 / 18-IV Bis</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Constancia de Asunción Personal de obligaciones — D2-NOT</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20</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Base para todo lo demás</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3</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Manual de Cumplimiento PLD/FT — D5-NOT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18-VIII</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4</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Expedientes KYC de clientes por acto — D7-NOT</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18-I a III</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5</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Metodología EBR implementada — D6-NOT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18-VII</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6</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Identificación reforzada de Beneficiario Controlador</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18-III / D7-NOT Secc. E</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7</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Política de PEP's documentada — D8</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18-VIII</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8</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Avisos SIEMPRE obligatorios presentados (incisos b, c, e)</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17 Fracc. XII</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$7,625,150 o 10%–100% del valor del acto</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9</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Control mensual de avisos y actos — D12-NOT</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23</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$7,625,150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10</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Programa anual de capacitación — D11</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18-IX</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11</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Política de resguardo documental 10 años — D10</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18-IV</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12</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Mecanismos automatizados de monitoreo (obligación nueva)</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18-X</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13</w:t>
            </w:r>
          </w:p>
        </w:tc>
        <w:tc>
          <w:tcPr>
            <w:tcW w:type="dxa" w:w="2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Auditoría interna del programa — D13</w:t>
            </w:r>
          </w:p>
        </w:tc>
        <w:tc>
          <w:tcPr>
            <w:tcW w:type="dxa" w:w="14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18-XI</w:t>
            </w:r>
          </w:p>
        </w:tc>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$234,620</w:t>
            </w:r>
          </w:p>
        </w:tc>
      </w:tr>
      <w:tr>
        <w:tc>
          <w:tcPr>
            <w:tcW w:type="dxa" w:w="42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14</w:t>
            </w:r>
          </w:p>
        </w:tc>
        <w:tc>
          <w:tcPr>
            <w:tcW w:type="dxa" w:w="2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Restricción de pagos en efectivo (Art. 32, 8,025 UMA)</w:t>
            </w:r>
          </w:p>
        </w:tc>
        <w:tc>
          <w:tcPr>
            <w:tcW w:type="dxa" w:w="14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Art. 32-33</w:t>
            </w:r>
          </w:p>
        </w:tc>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 C  [ ] P  [ ] N</w:t>
            </w:r>
          </w:p>
        </w:tc>
        <w:tc>
          <w:tcPr>
            <w:tcW w:type="dxa" w:w="143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 ]V [ ]A [ ]R</w:t>
            </w:r>
          </w:p>
        </w:tc>
        <w:tc>
          <w:tcPr>
            <w:tcW w:type="dxa" w:w="20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$7,625,150</w:t>
            </w:r>
          </w:p>
        </w:tc>
      </w:tr>
    </w:tbl>
    <w:p/>
    <w:p>
      <w:pPr>
        <w:spacing w:after="110"/>
      </w:pPr>
      <w:r>
        <w:rPr>
          <w:rFonts w:ascii="Calibri" w:cs="Calibri" w:eastAsia="Calibri" w:hAnsi="Calibri"/>
          <w:i/>
          <w:iCs/>
          <w:color w:val="595959"/>
          <w:sz w:val="18"/>
          <w:szCs w:val="18"/>
        </w:rPr>
        <w:t xml:space="preserve">Nota: los rubros 8 y 9 tienen mayor peso relativo en notarías que en inmobiliarias — a diferencia del régimen inmobiliario, tres de los cinco incisos (b, c, e) son SIEMPRE objeto de aviso sin importar el monto, por lo que la omisión histórica de avisos suele ser más extensa de lo que el Notario anticipa.</w:t>
      </w:r>
    </w:p>
    <w:p>
      <w:pPr>
        <w:pBdr>
          <w:bottom w:val="single" w:color="B08D57" w:sz="6" w:space="2"/>
        </w:pBdr>
        <w:spacing w:after="120" w:before="240"/>
      </w:pPr>
      <w:r>
        <w:rPr>
          <w:rFonts w:ascii="Calibri" w:cs="Calibri" w:eastAsia="Calibri" w:hAnsi="Calibri"/>
          <w:b/>
          <w:bCs/>
          <w:color w:val="1F3864"/>
          <w:sz w:val="23"/>
          <w:szCs w:val="23"/>
        </w:rPr>
        <w:t xml:space="preserve">III. Resumen ejecutivo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Total de rubros evaluados:</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14</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Rubros en cumplimiento (VERDE):</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Rubros en cumplimiento parcial (AMARILLO):</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Rubros en incumplimiento (ROJO):</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Multa máxima acumulada estimada:</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 MXN</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Reducción posible por actuación espontánea (Art. 55 Ley, hasta 50%):</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 MXN</w:t>
            </w:r>
          </w:p>
        </w:tc>
      </w:tr>
      <w:tr>
        <w:tc>
          <w:tcPr>
            <w:tcW w:type="dxa" w:w="3200"/>
            <w:shd w:fill="EDEDED" w:val="clear"/>
            <w:tcMar>
              <w:top w:type="dxa" w:w="60"/>
              <w:left w:type="dxa" w:w="80"/>
              <w:bottom w:type="dxa" w:w="60"/>
              <w:right w:type="dxa" w:w="80"/>
            </w:tcMar>
            <w:vAlign w:val="center"/>
          </w:tcPr>
          <w:p>
            <w:r>
              <w:rPr>
                <w:rFonts w:ascii="Calibri" w:cs="Calibri" w:eastAsia="Calibri" w:hAnsi="Calibri"/>
                <w:b/>
                <w:bCs/>
                <w:sz w:val="17"/>
                <w:szCs w:val="17"/>
              </w:rPr>
              <w:t xml:space="preserve">Riesgo adicional (Art. 58 — autoridad estatal de fe pública):</w:t>
            </w:r>
          </w:p>
        </w:tc>
        <w:tc>
          <w:tcPr>
            <w:tcW w:type="dxa" w:w="6150"/>
            <w:tcMar>
              <w:top w:type="dxa" w:w="60"/>
              <w:left w:type="dxa" w:w="80"/>
              <w:bottom w:type="dxa" w:w="60"/>
              <w:right w:type="dxa" w:w="80"/>
            </w:tcMar>
            <w:vAlign w:val="center"/>
          </w:tcPr>
          <w:p>
            <w:r>
              <w:rPr>
                <w:rFonts w:ascii="Calibri" w:cs="Calibri" w:eastAsia="Calibri" w:hAnsi="Calibri"/>
                <w:b w:val="false"/>
                <w:bCs w:val="false"/>
                <w:sz w:val="17"/>
                <w:szCs w:val="17"/>
              </w:rPr>
              <w:t xml:space="preserve">[ ] Sí, aplica  [ ] No identificado</w:t>
            </w:r>
          </w:p>
        </w:tc>
      </w:tr>
    </w:tbl>
    <w:p>
      <w:pPr>
        <w:pBdr>
          <w:bottom w:val="single" w:color="B08D57" w:sz="6" w:space="2"/>
        </w:pBdr>
        <w:spacing w:after="120" w:before="240"/>
      </w:pPr>
      <w:r>
        <w:rPr>
          <w:rFonts w:ascii="Calibri" w:cs="Calibri" w:eastAsia="Calibri" w:hAnsi="Calibri"/>
          <w:b/>
          <w:bCs/>
          <w:color w:val="1F3864"/>
          <w:sz w:val="23"/>
          <w:szCs w:val="23"/>
        </w:rPr>
        <w:t xml:space="preserve">IV. Plan de acción correctiva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600"/>
        <w:gridCol w:w="1300"/>
        <w:gridCol w:w="1450"/>
      </w:tblGrid>
      <w:tr>
        <w:trPr>
          <w:tblHeader/>
        </w:trPr>
        <w:tc>
          <w:tcPr>
            <w:tcW w:type="dxa" w:w="15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Rubro</w:t>
            </w:r>
          </w:p>
        </w:tc>
        <w:tc>
          <w:tcPr>
            <w:tcW w:type="dxa" w:w="35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Acción correctiva</w:t>
            </w:r>
          </w:p>
        </w:tc>
        <w:tc>
          <w:tcPr>
            <w:tcW w:type="dxa" w:w="16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Doc. Certus PLD</w:t>
            </w:r>
          </w:p>
        </w:tc>
        <w:tc>
          <w:tcPr>
            <w:tcW w:type="dxa" w:w="130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Plazo sugerido</w:t>
            </w:r>
          </w:p>
        </w:tc>
        <w:tc>
          <w:tcPr>
            <w:tcW w:type="dxa" w:w="1450"/>
            <w:shd w:fill="1F3864" w:val="clear"/>
            <w:tcMar>
              <w:top w:type="dxa" w:w="60"/>
              <w:left w:type="dxa" w:w="80"/>
              <w:bottom w:type="dxa" w:w="60"/>
              <w:right w:type="dxa" w:w="80"/>
            </w:tcMar>
            <w:vAlign w:val="center"/>
          </w:tcPr>
          <w:p>
            <w:r>
              <w:rPr>
                <w:rFonts w:ascii="Calibri" w:cs="Calibri" w:eastAsia="Calibri" w:hAnsi="Calibri"/>
                <w:b/>
                <w:bCs/>
                <w:color w:val="FFFFFF"/>
                <w:sz w:val="17"/>
                <w:szCs w:val="17"/>
              </w:rPr>
              <w:t xml:space="preserve">Responsable</w:t>
            </w:r>
          </w:p>
        </w:tc>
      </w:tr>
      <w:tr>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1 - Registro SAT</w:t>
            </w:r>
          </w:p>
        </w:tc>
        <w:tc>
          <w:tcPr>
            <w:tcW w:type="dxa" w:w="3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Iniciar trámite de alta personal en SPPLD</w:t>
            </w:r>
          </w:p>
        </w:tc>
        <w:tc>
          <w:tcPr>
            <w:tcW w:type="dxa" w:w="1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D3-NOT</w:t>
            </w:r>
          </w:p>
        </w:tc>
        <w:tc>
          <w:tcPr>
            <w:tcW w:type="dxa" w:w="13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Semana 1</w:t>
            </w:r>
          </w:p>
        </w:tc>
        <w:tc>
          <w:tcPr>
            <w:tcW w:type="dxa" w:w="145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Notario Titular</w:t>
            </w:r>
          </w:p>
        </w:tc>
      </w:tr>
      <w:tr>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2 - Asunción personal</w:t>
            </w:r>
          </w:p>
        </w:tc>
        <w:tc>
          <w:tcPr>
            <w:tcW w:type="dxa" w:w="3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Firmar Constancia de Asunción Personal</w:t>
            </w:r>
          </w:p>
        </w:tc>
        <w:tc>
          <w:tcPr>
            <w:tcW w:type="dxa" w:w="1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D2-NOT</w:t>
            </w:r>
          </w:p>
        </w:tc>
        <w:tc>
          <w:tcPr>
            <w:tcW w:type="dxa" w:w="13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Semana 1</w:t>
            </w:r>
          </w:p>
        </w:tc>
        <w:tc>
          <w:tcPr>
            <w:tcW w:type="dxa" w:w="145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Notario Titular</w:t>
            </w:r>
          </w:p>
        </w:tc>
      </w:tr>
      <w:tr>
        <w:tc>
          <w:tcPr>
            <w:tcW w:type="dxa" w:w="1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4 - KYC</w:t>
            </w:r>
          </w:p>
        </w:tc>
        <w:tc>
          <w:tcPr>
            <w:tcW w:type="dxa" w:w="35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Integrar expedientes de actos formalizados en los últimos 12 meses</w:t>
            </w:r>
          </w:p>
        </w:tc>
        <w:tc>
          <w:tcPr>
            <w:tcW w:type="dxa" w:w="16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D7-NOT</w:t>
            </w:r>
          </w:p>
        </w:tc>
        <w:tc>
          <w:tcPr>
            <w:tcW w:type="dxa" w:w="130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Semana 2-4</w:t>
            </w:r>
          </w:p>
        </w:tc>
        <w:tc>
          <w:tcPr>
            <w:tcW w:type="dxa" w:w="1450"/>
            <w:shd w:fill="FFFFFF"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Notario / Enc. Operativo</w:t>
            </w:r>
          </w:p>
        </w:tc>
      </w:tr>
      <w:tr>
        <w:tc>
          <w:tcPr>
            <w:tcW w:type="dxa" w:w="1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8 - Avisos siempre obligatorios</w:t>
            </w:r>
          </w:p>
        </w:tc>
        <w:tc>
          <w:tcPr>
            <w:tcW w:type="dxa" w:w="35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Revisar actos históricos de incisos b), c) y e) sin aviso presentado</w:t>
            </w:r>
          </w:p>
        </w:tc>
        <w:tc>
          <w:tcPr>
            <w:tcW w:type="dxa" w:w="16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D12-NOT</w:t>
            </w:r>
          </w:p>
        </w:tc>
        <w:tc>
          <w:tcPr>
            <w:tcW w:type="dxa" w:w="130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Semana 1-2</w:t>
            </w:r>
          </w:p>
        </w:tc>
        <w:tc>
          <w:tcPr>
            <w:tcW w:type="dxa" w:w="1450"/>
            <w:shd w:fill="F4F4F4" w:val="clear"/>
            <w:tcMar>
              <w:top w:type="dxa" w:w="60"/>
              <w:left w:type="dxa" w:w="80"/>
              <w:bottom w:type="dxa" w:w="60"/>
              <w:right w:type="dxa" w:w="80"/>
            </w:tcMar>
            <w:vAlign w:val="center"/>
          </w:tcPr>
          <w:p>
            <w:r>
              <w:rPr>
                <w:rFonts w:ascii="Calibri" w:cs="Calibri" w:eastAsia="Calibri" w:hAnsi="Calibri"/>
                <w:b w:val="false"/>
                <w:bCs w:val="false"/>
                <w:sz w:val="17"/>
                <w:szCs w:val="17"/>
              </w:rPr>
              <w:t xml:space="preserve">Notario Titular</w:t>
            </w:r>
          </w:p>
        </w:tc>
      </w:tr>
    </w:tbl>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2026-09-09T01:41:35.476Z</dcterms:created>
  <dcterms:modified xsi:type="dcterms:W3CDTF">2026-09-09T01:41:35.487Z</dcterms:modified>
</cp:coreProperties>
</file>

<file path=docProps/custom.xml><?xml version="1.0" encoding="utf-8"?>
<Properties xmlns="http://schemas.openxmlformats.org/officeDocument/2006/custom-properties" xmlns:vt="http://schemas.openxmlformats.org/officeDocument/2006/docPropsVTypes"/>
</file>