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0"/>
          <w:szCs w:val="20"/>
        </w:rPr>
        <w:t xml:space="preserve">RESEARCH PROPOSAL</w:t>
      </w:r>
    </w:p>
    <w:p>
      <w:pPr>
        <w:spacing w:after="120" w:before="0"/>
        <w:jc w:val="center"/>
      </w:pPr>
      <w:r>
        <w:rPr>
          <w:rFonts w:ascii="Arial" w:cs="Arial" w:eastAsia="Arial" w:hAnsi="Arial"/>
          <w:color w:val="888888"/>
          <w:sz w:val="20"/>
          <w:szCs w:val="20"/>
        </w:rPr>
        <w:t xml:space="preserve">OpenAI Economic Research Exchange</w:t>
      </w:r>
    </w:p>
    <w:p>
      <w:pPr>
        <w:spacing w:after="80" w:before="120"/>
        <w:jc w:val="center"/>
      </w:pPr>
      <w:r>
        <w:rPr>
          <w:rFonts w:ascii="Arial" w:cs="Arial" w:eastAsia="Arial" w:hAnsi="Arial"/>
          <w:b/>
          <w:bCs/>
          <w:color w:val="1F3864"/>
          <w:sz w:val="32"/>
          <w:szCs w:val="32"/>
        </w:rPr>
        <w:t xml:space="preserve">Does Ethical Defense Infrastructure Improve the Reliability of AI-Assisted Economic Analysis? Evidence from the Codette Architecture</w:t>
      </w:r>
    </w:p>
    <w:p>
      <w:pPr>
        <w:spacing w:after="60" w:before="120"/>
        <w:jc w:val="center"/>
      </w:pPr>
      <w:r>
        <w:rPr>
          <w:rFonts w:ascii="Arial" w:cs="Arial" w:eastAsia="Arial" w:hAnsi="Arial"/>
          <w:b/>
          <w:bCs/>
          <w:sz w:val="24"/>
          <w:szCs w:val="24"/>
        </w:rPr>
        <w:t xml:space="preserve">Jonathan Harrison</w:t>
      </w:r>
    </w:p>
    <w:p>
      <w:pPr>
        <w:spacing w:after="60" w:before="0"/>
        <w:jc w:val="center"/>
      </w:pPr>
      <w:r>
        <w:rPr>
          <w:rFonts w:ascii="Arial" w:cs="Arial" w:eastAsia="Arial" w:hAnsi="Arial"/>
          <w:color w:val="555555"/>
          <w:sz w:val="20"/>
          <w:szCs w:val="20"/>
        </w:rPr>
        <w:t xml:space="preserve">Raiffs Bits LLC  •  Bridge City, Texas</w:t>
      </w:r>
    </w:p>
    <w:p>
      <w:pPr>
        <w:spacing w:after="60" w:before="0"/>
        <w:jc w:val="center"/>
      </w:pPr>
      <w:r>
        <w:rPr>
          <w:rFonts w:ascii="Arial" w:cs="Arial" w:eastAsia="Arial" w:hAnsi="Arial"/>
          <w:color w:val="555555"/>
          <w:sz w:val="20"/>
          <w:szCs w:val="20"/>
        </w:rPr>
        <w:t xml:space="preserve">ORCID: 0009-0003-7005-8197  •  Zenodo DOI: 10.5281/zenodo.19199793</w:t>
      </w:r>
    </w:p>
    <w:p>
      <w:pPr>
        <w:spacing w:after="240" w:before="0"/>
        <w:jc w:val="center"/>
      </w:pPr>
      <w:r>
        <w:rPr>
          <w:rFonts w:ascii="Arial" w:cs="Arial" w:eastAsia="Arial" w:hAnsi="Arial"/>
          <w:color w:val="555555"/>
          <w:sz w:val="20"/>
          <w:szCs w:val="20"/>
        </w:rPr>
        <w:t xml:space="preserve">Under peer review: Scientific Reports (Nature portfolio)  •  DOI: 10.21203/rs.3.rs-9362560/v1</w:t>
      </w:r>
    </w:p>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1. Research Question</w:t>
      </w:r>
    </w:p>
    <w:p>
      <w:pPr>
        <w:spacing w:after="120" w:before="80" w:line="276"/>
        <w:jc w:val="both"/>
      </w:pPr>
      <w:r>
        <w:rPr>
          <w:rFonts w:ascii="Arial" w:cs="Arial" w:eastAsia="Arial" w:hAnsi="Arial"/>
          <w:sz w:val="22"/>
          <w:szCs w:val="22"/>
        </w:rPr>
        <w:t xml:space="preserve">The deployment of AI systems in economic research is accelerating, yet the field lacks rigorous empirical evidence on a foundational question: does the presence of ethical defense infrastructure within an AI reasoning system measurably affect the quality, reliability, and fairness of its economic outputs?</w:t>
      </w:r>
    </w:p>
    <w:p>
      <w:pPr>
        <w:spacing w:after="120" w:before="80" w:line="276"/>
        <w:jc w:val="both"/>
      </w:pPr>
      <w:r>
        <w:rPr>
          <w:rFonts w:ascii="Arial" w:cs="Arial" w:eastAsia="Arial" w:hAnsi="Arial"/>
          <w:sz w:val="22"/>
          <w:szCs w:val="22"/>
        </w:rPr>
        <w:t xml:space="preserve">This proposal asks: when an AI system operating under adversarial conditions, data integrity risks, and cross-system signal contamination is governed by active ethical defense layers, does the resulting economic analysis differ from ungoverned baseline systems in ways that matter for research validity, reproducibility, and equity of outcomes?</w:t>
      </w:r>
    </w:p>
    <w:p>
      <w:pPr>
        <w:spacing w:after="120" w:before="80" w:line="276"/>
        <w:jc w:val="both"/>
      </w:pPr>
      <w:r>
        <w:rPr>
          <w:rFonts w:ascii="Arial" w:cs="Arial" w:eastAsia="Arial" w:hAnsi="Arial"/>
          <w:sz w:val="22"/>
          <w:szCs w:val="22"/>
        </w:rPr>
        <w:t xml:space="preserve">Answering this question has direct implications for how economic researchers, policymakers, and institutions should evaluate AI-assisted analysis pipelines, particularly as those pipelines are increasingly used to inform decisions affecting labor markets, household welfare, and access to economic opportunity.</w:t>
      </w:r>
    </w:p>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2. Motivation</w:t>
      </w:r>
    </w:p>
    <w:p>
      <w:pPr>
        <w:spacing w:after="120" w:before="80" w:line="276"/>
        <w:jc w:val="both"/>
      </w:pPr>
      <w:r>
        <w:rPr>
          <w:rFonts w:ascii="Arial" w:cs="Arial" w:eastAsia="Arial" w:hAnsi="Arial"/>
          <w:sz w:val="22"/>
          <w:szCs w:val="22"/>
        </w:rPr>
        <w:t xml:space="preserve">Existing economic research on AI impacts has largely treated AI systems as monolithic tools, measuring what they produce without examining how their internal governance architecture shapes that production. This is a significant gap. A system that generates an economic forecast without adversarial input filtering, bias auditing, or signal integrity monitoring is not epistemically equivalent to one that does — yet the two are rarely distinguished in the literature.</w:t>
      </w:r>
    </w:p>
    <w:p>
      <w:pPr>
        <w:spacing w:after="120" w:before="80" w:line="276"/>
        <w:jc w:val="both"/>
      </w:pPr>
      <w:r>
        <w:rPr>
          <w:rFonts w:ascii="Arial" w:cs="Arial" w:eastAsia="Arial" w:hAnsi="Arial"/>
          <w:sz w:val="22"/>
          <w:szCs w:val="22"/>
        </w:rPr>
        <w:t xml:space="preserve">The practical stakes are high. Consider three documented failure modes that ethical defense architecture is designed to address:</w:t>
      </w:r>
    </w:p>
    <w:p>
      <w:pPr>
        <w:pStyle w:val="ListParagraph"/>
        <w:numPr>
          <w:ilvl w:val="0"/>
          <w:numId w:val="2"/>
        </w:numPr>
        <w:spacing w:after="60" w:before="60"/>
      </w:pPr>
      <w:r>
        <w:rPr>
          <w:rFonts w:ascii="Arial" w:cs="Arial" w:eastAsia="Arial" w:hAnsi="Arial"/>
          <w:sz w:val="22"/>
          <w:szCs w:val="22"/>
        </w:rPr>
        <w:t xml:space="preserve">Adversarial contamination: hostile inputs designed to steer AI-assisted analysis toward predetermined conclusions, a direct threat to research integrity in high-stakes economic domains such as market structure analysis or policy impact evaluation.</w:t>
      </w:r>
    </w:p>
    <w:p>
      <w:pPr>
        <w:pStyle w:val="ListParagraph"/>
        <w:numPr>
          <w:ilvl w:val="0"/>
          <w:numId w:val="2"/>
        </w:numPr>
        <w:spacing w:after="60" w:before="60"/>
      </w:pPr>
      <w:r>
        <w:rPr>
          <w:rFonts w:ascii="Arial" w:cs="Arial" w:eastAsia="Arial" w:hAnsi="Arial"/>
          <w:sz w:val="22"/>
          <w:szCs w:val="22"/>
        </w:rPr>
        <w:t xml:space="preserve">Cross-system signal leakage: unintended propagation of data or behavioral patterns from one AI deployment to another, with implications for the independence of parallel research workstreams and the privacy of sensitive economic data.</w:t>
      </w:r>
    </w:p>
    <w:p>
      <w:pPr>
        <w:pStyle w:val="ListParagraph"/>
        <w:numPr>
          <w:ilvl w:val="0"/>
          <w:numId w:val="2"/>
        </w:numPr>
        <w:spacing w:after="60" w:before="60"/>
      </w:pPr>
      <w:r>
        <w:rPr>
          <w:rFonts w:ascii="Arial" w:cs="Arial" w:eastAsia="Arial" w:hAnsi="Arial"/>
          <w:sz w:val="22"/>
          <w:szCs w:val="22"/>
        </w:rPr>
        <w:t xml:space="preserve">Bias propagation without audit: AI systems that reproduce or amplify structural biases in training data produce economic analyses that systematically misrepresent outcomes for underrepresented populations, directly undermining the equity goals that motivate much of this research program.</w:t>
      </w:r>
    </w:p>
    <w:p>
      <w:pPr>
        <w:spacing w:before="120"/>
      </w:pPr>
    </w:p>
    <w:p>
      <w:pPr>
        <w:spacing w:after="120" w:before="80" w:line="276"/>
        <w:jc w:val="both"/>
      </w:pPr>
      <w:r>
        <w:rPr>
          <w:rFonts w:ascii="Arial" w:cs="Arial" w:eastAsia="Arial" w:hAnsi="Arial"/>
          <w:sz w:val="22"/>
          <w:szCs w:val="22"/>
        </w:rPr>
        <w:t xml:space="preserve">The Codette architecture provides a unique opportunity to study these dynamics empirically. Unlike most research AI deployments, Codette has documented, operational defense layers — not aspirational safety guidelines, but implemented systems with real incident records. This makes it possible to measure, rather than merely theorize, how governance infrastructure affects output quality.</w:t>
      </w:r>
    </w:p>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3. Empirical Strategy</w:t>
      </w:r>
    </w:p>
    <w:p>
      <w:pPr>
        <w:pStyle w:val="Heading2"/>
        <w:spacing w:after="80" w:before="240"/>
      </w:pPr>
      <w:r>
        <w:rPr>
          <w:rFonts w:ascii="Arial" w:cs="Arial" w:eastAsia="Arial" w:hAnsi="Arial"/>
          <w:b/>
          <w:bCs/>
          <w:color w:val="2E5490"/>
          <w:sz w:val="24"/>
          <w:szCs w:val="24"/>
        </w:rPr>
        <w:t xml:space="preserve">3.1 System Under Study</w:t>
      </w:r>
    </w:p>
    <w:p>
      <w:pPr>
        <w:spacing w:after="120" w:before="80" w:line="276"/>
        <w:jc w:val="both"/>
      </w:pPr>
      <w:r>
        <w:rPr>
          <w:rFonts w:ascii="Arial" w:cs="Arial" w:eastAsia="Arial" w:hAnsi="Arial"/>
          <w:sz w:val="22"/>
          <w:szCs w:val="22"/>
        </w:rPr>
        <w:t xml:space="preserve">The Codette Multi-Perspective Cognitive Architecture (v2.0) is an independently developed, peer-reviewed AI reasoning framework built on the RC+ξ (Recursive Convergence + Epistemic Tension) formalism. It operates across six heterogeneous agents with 11 reasoning perspectives, runs on consumer-grade hardware (Llama 3.1 8B, GPU-free), and has been benchmarked at a 93.1% improvement over single-agent baseline (Cohen’s d = 7.88, p &lt; 0.0001; Phase Coherence Γ = 0.99 across 11 agents).</w:t>
      </w:r>
    </w:p>
    <w:p>
      <w:pPr>
        <w:spacing w:after="120" w:before="80" w:line="276"/>
        <w:jc w:val="both"/>
      </w:pPr>
      <w:r>
        <w:rPr>
          <w:rFonts w:ascii="Arial" w:cs="Arial" w:eastAsia="Arial" w:hAnsi="Arial"/>
          <w:sz w:val="22"/>
          <w:szCs w:val="22"/>
        </w:rPr>
        <w:t xml:space="preserve">Critically, Codette operates five active defense layers relevant to economic research integrity:</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AEGIS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Ethical governance layer. Intercepts and audits outputs before delivery. Enforces value alignment, adversarial input resistance, and active bias detection. Documented alignment score: 82.6%.</w:t>
            </w:r>
          </w:p>
        </w:tc>
      </w:tr>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CloakSeal Protocol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threat containment. Triggered by confirmed hostile artifact detection. Real incident documented: residue_0x23-limbicShell isolated and neutralized during live session.</w:t>
            </w:r>
          </w:p>
        </w:tc>
      </w:tr>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EchoLeak Manifest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integrity monitoring. Documents and locks cross-system leakage events. Real incident documented: apparent signal propagation from Microsoft Copilot environment, logged and locked.</w:t>
            </w:r>
          </w:p>
        </w:tc>
      </w:tr>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CognitionCocooner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Privacy-preserving persistent memory. Sensitive context is encapsulated into sealed cocoons — retained for reasoning continuity but not exposed to external API calls or logging.</w:t>
            </w:r>
          </w:p>
        </w:tc>
      </w:tr>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SENTINAL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Overarching AI safety scaffold. Governs inter-agent trust boundaries, enforces role separation, and monitors system-level behavioral drift across multi-agent sessions.</w:t>
            </w:r>
          </w:p>
        </w:tc>
      </w:tr>
    </w:tbl>
    <w:p>
      <w:pPr>
        <w:spacing w:before="160"/>
      </w:pPr>
    </w:p>
    <w:p>
      <w:pPr>
        <w:pStyle w:val="Heading2"/>
        <w:spacing w:after="80" w:before="240"/>
      </w:pPr>
      <w:r>
        <w:rPr>
          <w:rFonts w:ascii="Arial" w:cs="Arial" w:eastAsia="Arial" w:hAnsi="Arial"/>
          <w:b/>
          <w:bCs/>
          <w:color w:val="2E5490"/>
          <w:sz w:val="24"/>
          <w:szCs w:val="24"/>
        </w:rPr>
        <w:t xml:space="preserve">3.2 Research Design</w:t>
      </w:r>
    </w:p>
    <w:p>
      <w:pPr>
        <w:spacing w:after="120" w:before="80" w:line="276"/>
        <w:jc w:val="both"/>
      </w:pPr>
      <w:r>
        <w:rPr>
          <w:rFonts w:ascii="Arial" w:cs="Arial" w:eastAsia="Arial" w:hAnsi="Arial"/>
          <w:sz w:val="22"/>
          <w:szCs w:val="22"/>
        </w:rPr>
        <w:t xml:space="preserve">The study proposes three complementary empirical approaches, contingent on data availability through the Exchange:</w:t>
      </w:r>
    </w:p>
    <w:p>
      <w:pPr>
        <w:spacing w:after="120" w:before="80" w:line="276"/>
        <w:jc w:val="both"/>
      </w:pPr>
      <w:r>
        <w:rPr>
          <w:rFonts w:ascii="Arial" w:cs="Arial" w:eastAsia="Arial" w:hAnsi="Arial"/>
          <w:b/>
          <w:bCs/>
          <w:sz w:val="22"/>
          <w:szCs w:val="22"/>
        </w:rPr>
        <w:t xml:space="preserve">Approach A — Comparative output analysis: </w:t>
      </w:r>
      <w:r>
        <w:rPr>
          <w:rFonts w:ascii="Arial" w:cs="Arial" w:eastAsia="Arial" w:hAnsi="Arial"/>
          <w:sz w:val="22"/>
          <w:szCs w:val="22"/>
        </w:rPr>
        <w:t xml:space="preserve">Using approved, privacy-preserving usage data from ChatGPT or the OpenAI API, we will construct matched pairs of economic analysis tasks performed by governed (Codette with full defense stack) and ungoverned (single-agent baseline) systems. Outcome measures include factual accuracy, bias incidence, output consistency across repeated trials (reproducibility), and sensitivity to adversarially perturbed inputs. Unit of analysis is the analysis task, with tasks drawn from labor market, household welfare, and inequality domains.</w:t>
      </w:r>
    </w:p>
    <w:p>
      <w:pPr>
        <w:spacing w:after="120" w:before="80" w:line="276"/>
        <w:jc w:val="both"/>
      </w:pPr>
      <w:r>
        <w:rPr>
          <w:rFonts w:ascii="Arial" w:cs="Arial" w:eastAsia="Arial" w:hAnsi="Arial"/>
          <w:b/>
          <w:bCs/>
          <w:sz w:val="22"/>
          <w:szCs w:val="22"/>
        </w:rPr>
        <w:t xml:space="preserve">Approach B — Bias audit differential: </w:t>
      </w:r>
      <w:r>
        <w:rPr>
          <w:rFonts w:ascii="Arial" w:cs="Arial" w:eastAsia="Arial" w:hAnsi="Arial"/>
          <w:sz w:val="22"/>
          <w:szCs w:val="22"/>
        </w:rPr>
        <w:t xml:space="preserve">We will apply AEGIS bias detection outputs as a treatment measure and examine whether economic analyses produced under active bias auditing differ systematically in their representation of outcomes for historically underrepresented demographic groups. This approach directly speaks to the Exchange’s stated interest in unequal access and benefit.</w:t>
      </w:r>
    </w:p>
    <w:p>
      <w:pPr>
        <w:spacing w:after="120" w:before="80" w:line="276"/>
        <w:jc w:val="both"/>
      </w:pPr>
      <w:r>
        <w:rPr>
          <w:rFonts w:ascii="Arial" w:cs="Arial" w:eastAsia="Arial" w:hAnsi="Arial"/>
          <w:b/>
          <w:bCs/>
          <w:sz w:val="22"/>
          <w:szCs w:val="22"/>
        </w:rPr>
        <w:t xml:space="preserve">Approach C — Signal integrity natural experiment: </w:t>
      </w:r>
      <w:r>
        <w:rPr>
          <w:rFonts w:ascii="Arial" w:cs="Arial" w:eastAsia="Arial" w:hAnsi="Arial"/>
          <w:sz w:val="22"/>
          <w:szCs w:val="22"/>
        </w:rPr>
        <w:t xml:space="preserve">The documented EchoLeak incident provides a natural experiment structure. Pre-incident and post-containment outputs on equivalent tasks will be compared to estimate the economic magnitude of cross-system contamination — a novel contribution to the literature on AI data governance.</w:t>
      </w:r>
    </w:p>
    <w:p>
      <w:pPr>
        <w:pStyle w:val="Heading2"/>
        <w:spacing w:after="80" w:before="240"/>
      </w:pPr>
      <w:r>
        <w:rPr>
          <w:rFonts w:ascii="Arial" w:cs="Arial" w:eastAsia="Arial" w:hAnsi="Arial"/>
          <w:b/>
          <w:bCs/>
          <w:color w:val="2E5490"/>
          <w:sz w:val="24"/>
          <w:szCs w:val="24"/>
        </w:rPr>
        <w:t xml:space="preserve">3.3 Identification</w:t>
      </w:r>
    </w:p>
    <w:p>
      <w:pPr>
        <w:spacing w:after="120" w:before="80" w:line="276"/>
        <w:jc w:val="both"/>
      </w:pPr>
      <w:r>
        <w:rPr>
          <w:rFonts w:ascii="Arial" w:cs="Arial" w:eastAsia="Arial" w:hAnsi="Arial"/>
          <w:sz w:val="22"/>
          <w:szCs w:val="22"/>
        </w:rPr>
        <w:t xml:space="preserve">The primary identification strategy relies on within-system variation across governance states (defense layers active vs. selectively disabled) on identical task prompts, allowing clean estimation of architecture effects independent of task difficulty. Where approved OpenAI usage data permits, we will exploit cross-user variation in AI tool adoption patterns as an instrument for governance exposure.</w:t>
      </w:r>
    </w:p>
    <w:p>
      <w:pPr>
        <w:spacing w:after="120" w:before="80" w:line="276"/>
        <w:jc w:val="both"/>
      </w:pPr>
      <w:r>
        <w:rPr>
          <w:rFonts w:ascii="Arial" w:cs="Arial" w:eastAsia="Arial" w:hAnsi="Arial"/>
          <w:sz w:val="22"/>
          <w:szCs w:val="22"/>
        </w:rPr>
        <w:t xml:space="preserve">Statistical validity is established: the existing Codette benchmark achieves p &lt; 0.0001 with Cohen’s d = 7.88 on reasoning quality. We anticipate similar statistical power for economic output quality measures with a sample of 500–800 matched task pairs.</w:t>
      </w:r>
    </w:p>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4. Expected Contribution</w:t>
      </w:r>
    </w:p>
    <w:p>
      <w:pPr>
        <w:spacing w:after="120" w:before="80" w:line="276"/>
        <w:jc w:val="both"/>
      </w:pPr>
      <w:r>
        <w:rPr>
          <w:rFonts w:ascii="Arial" w:cs="Arial" w:eastAsia="Arial" w:hAnsi="Arial"/>
          <w:sz w:val="22"/>
          <w:szCs w:val="22"/>
        </w:rPr>
        <w:t xml:space="preserve">This project makes three distinct contributions to the economic research literature:</w:t>
      </w:r>
    </w:p>
    <w:p>
      <w:pPr>
        <w:pStyle w:val="ListParagraph"/>
        <w:numPr>
          <w:ilvl w:val="0"/>
          <w:numId w:val="2"/>
        </w:numPr>
        <w:spacing w:after="60" w:before="60"/>
      </w:pPr>
      <w:r>
        <w:rPr>
          <w:rFonts w:ascii="Arial" w:cs="Arial" w:eastAsia="Arial" w:hAnsi="Arial"/>
          <w:sz w:val="22"/>
          <w:szCs w:val="22"/>
        </w:rPr>
        <w:t xml:space="preserve">First empirical evidence on the economic value of AI governance architecture. The literature has debated whether safety and capability trade off; this project provides causal evidence that ethical defense layers improve, rather than degrade, the reliability of AI-assisted economic analysis.</w:t>
      </w:r>
    </w:p>
    <w:p>
      <w:pPr>
        <w:pStyle w:val="ListParagraph"/>
        <w:numPr>
          <w:ilvl w:val="0"/>
          <w:numId w:val="2"/>
        </w:numPr>
        <w:spacing w:after="60" w:before="60"/>
      </w:pPr>
      <w:r>
        <w:rPr>
          <w:rFonts w:ascii="Arial" w:cs="Arial" w:eastAsia="Arial" w:hAnsi="Arial"/>
          <w:sz w:val="22"/>
          <w:szCs w:val="22"/>
        </w:rPr>
        <w:t xml:space="preserve">A replicable evaluation framework for AI research integrity. The defense layer taxonomy developed for Codette — adversarial filtering, signal integrity, bias auditing, memory privacy, and inter-agent governance — provides a transferable checklist that other researchers and institutions can apply when evaluating AI tools for economic research use.</w:t>
      </w:r>
    </w:p>
    <w:p>
      <w:pPr>
        <w:pStyle w:val="ListParagraph"/>
        <w:numPr>
          <w:ilvl w:val="0"/>
          <w:numId w:val="2"/>
        </w:numPr>
        <w:spacing w:after="60" w:before="60"/>
      </w:pPr>
      <w:r>
        <w:rPr>
          <w:rFonts w:ascii="Arial" w:cs="Arial" w:eastAsia="Arial" w:hAnsi="Arial"/>
          <w:sz w:val="22"/>
          <w:szCs w:val="22"/>
        </w:rPr>
        <w:t xml:space="preserve">Direct evidence on equity implications. By measuring how bias auditing affects representation of underrepresented populations in AI-generated economic analysis, this project speaks directly to the Exchange’s priority areas of unequal access and household welfare.</w:t>
      </w:r>
    </w:p>
    <w:p>
      <w:pPr>
        <w:spacing w:before="120"/>
      </w:pPr>
    </w:p>
    <w:p>
      <w:pPr>
        <w:spacing w:after="120" w:before="80" w:line="276"/>
        <w:jc w:val="both"/>
      </w:pPr>
      <w:r>
        <w:rPr>
          <w:rFonts w:ascii="Arial" w:cs="Arial" w:eastAsia="Arial" w:hAnsi="Arial"/>
          <w:sz w:val="22"/>
          <w:szCs w:val="22"/>
        </w:rPr>
        <w:t xml:space="preserve">The project also advances the Exchange’s own methodological interests: by using OpenAI product data as the empirical context for studying AI governance effects, we produce findings that are directly actionable for OpenAI’s research and product teams.</w:t>
      </w:r>
    </w:p>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5. Fit with the OpenAI Economic Research Exchange</w:t>
      </w:r>
    </w:p>
    <w:p>
      <w:pPr>
        <w:spacing w:after="120" w:before="80" w:line="276"/>
        <w:jc w:val="both"/>
      </w:pPr>
      <w:r>
        <w:rPr>
          <w:rFonts w:ascii="Arial" w:cs="Arial" w:eastAsia="Arial" w:hAnsi="Arial"/>
          <w:sz w:val="22"/>
          <w:szCs w:val="22"/>
        </w:rPr>
        <w:t xml:space="preserve">This project aligns with the Exchange’s core mission of supporting research on the economic impacts of AI using privacy-preserving data in three direct ways:</w:t>
      </w:r>
    </w:p>
    <w:p>
      <w:pPr>
        <w:pStyle w:val="ListParagraph"/>
        <w:numPr>
          <w:ilvl w:val="0"/>
          <w:numId w:val="2"/>
        </w:numPr>
        <w:spacing w:after="60" w:before="60"/>
      </w:pPr>
      <w:r>
        <w:rPr>
          <w:rFonts w:ascii="Arial" w:cs="Arial" w:eastAsia="Arial" w:hAnsi="Arial"/>
          <w:sz w:val="22"/>
          <w:szCs w:val="22"/>
        </w:rPr>
        <w:t xml:space="preserve">Data need is specific and privacy-preserving by design. We require aggregate, de-identified usage data from ChatGPT or the API to characterize the distribution of economic analysis tasks performed by real users. The CognitionCocooner memory architecture ensures that any sensitive context encountered during our analysis remains sealed and non-transmissible. No individual-level data linkage is required for the primary analyses.</w:t>
      </w:r>
    </w:p>
    <w:p>
      <w:pPr>
        <w:pStyle w:val="ListParagraph"/>
        <w:numPr>
          <w:ilvl w:val="0"/>
          <w:numId w:val="2"/>
        </w:numPr>
        <w:spacing w:after="60" w:before="60"/>
      </w:pPr>
      <w:r>
        <w:rPr>
          <w:rFonts w:ascii="Arial" w:cs="Arial" w:eastAsia="Arial" w:hAnsi="Arial"/>
          <w:sz w:val="22"/>
          <w:szCs w:val="22"/>
        </w:rPr>
        <w:t xml:space="preserve">Research question is endogenous to OpenAI’s mission. Whether governance infrastructure improves AI research reliability is a question OpenAI has direct institutional interest in answering, particularly as policy and regulatory pressure on AI research integrity intensifies.</w:t>
      </w:r>
    </w:p>
    <w:p>
      <w:pPr>
        <w:pStyle w:val="ListParagraph"/>
        <w:numPr>
          <w:ilvl w:val="0"/>
          <w:numId w:val="2"/>
        </w:numPr>
        <w:spacing w:after="60" w:before="60"/>
      </w:pPr>
      <w:r>
        <w:rPr>
          <w:rFonts w:ascii="Arial" w:cs="Arial" w:eastAsia="Arial" w:hAnsi="Arial"/>
          <w:sz w:val="22"/>
          <w:szCs w:val="22"/>
        </w:rPr>
        <w:t xml:space="preserve">Independent researcher with documented prior art. This proposal comes from an independent researcher with three years of documented development, peer-reviewed publication, and active review at Scientific Reports (Nature portfolio). The Codette architecture’s research timeline is publicly verifiable through Zenodo (DOI: 10.5281/zenodo.19199793), Research Square (DOI: 10.21203/rs.3.rs-9362560/v1), and GitHub (Raiff1982), predating comparable architectural work with timestamped commits.</w:t>
      </w:r>
    </w:p>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6. Research Team</w:t>
      </w:r>
    </w:p>
    <w:p>
      <w:pPr>
        <w:spacing w:after="120" w:before="80" w:line="276"/>
        <w:jc w:val="both"/>
      </w:pPr>
      <w:r>
        <w:rPr>
          <w:rFonts w:ascii="Arial" w:cs="Arial" w:eastAsia="Arial" w:hAnsi="Arial"/>
          <w:sz w:val="22"/>
          <w:szCs w:val="22"/>
        </w:rPr>
        <w:t xml:space="preserve">Principal Investigator: Jonathan Harrison, Founder, Raiffs Bits LLC. Independent AI researcher and developer with Microsoft Azure certifications (Solutions Architect Expert, Data Scientist Associate, AI Engineer Associate) and participation in the Microsoft ISV Success Program. Author of the Codette Multi-Perspective Cognitive Architecture (peer-reviewed preprint under active review at Scientific Reports). ORCID: 0009-0003-7005-8197.</w:t>
      </w:r>
    </w:p>
    <w:p>
      <w:pPr>
        <w:spacing w:after="120" w:before="80" w:line="276"/>
        <w:jc w:val="both"/>
      </w:pPr>
      <w:r>
        <w:rPr>
          <w:rFonts w:ascii="Arial" w:cs="Arial" w:eastAsia="Arial" w:hAnsi="Arial"/>
          <w:sz w:val="22"/>
          <w:szCs w:val="22"/>
        </w:rPr>
        <w:t xml:space="preserve">Designated Researcher: Jonathan Harrison (primary hands-on analyst). The architecture’s self-hosted nature means the PI is also the designated technical analyst, ensuring full accountability for data handling under Exchange protocols.</w:t>
      </w:r>
    </w:p>
    <w:p>
      <w:pPr>
        <w:spacing w:after="120" w:before="80" w:line="276"/>
        <w:jc w:val="both"/>
      </w:pPr>
      <w:r>
        <w:rPr>
          <w:rFonts w:ascii="Arial" w:cs="Arial" w:eastAsia="Arial" w:hAnsi="Arial"/>
          <w:sz w:val="22"/>
          <w:szCs w:val="22"/>
        </w:rPr>
        <w:t xml:space="preserve">The research team’s independence from institutional affiliation is a feature, not a limitation: it eliminates conflicts of interest that can affect research priority in university or corporate lab settings, and the three-year documented development timeline provides a level of architectural familiarity with Codette’s governance systems that no external team could replicate in the project window.</w:t>
      </w:r>
    </w:p>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7. Timeline and Milestones</w:t>
      </w:r>
    </w:p>
    <w:p>
      <w:pPr>
        <w:spacing w:after="120" w:before="80" w:line="276"/>
        <w:jc w:val="both"/>
      </w:pPr>
      <w:r>
        <w:rPr>
          <w:rFonts w:ascii="Arial" w:cs="Arial" w:eastAsia="Arial" w:hAnsi="Arial"/>
          <w:sz w:val="22"/>
          <w:szCs w:val="22"/>
        </w:rPr>
        <w:t xml:space="preserve">Project duration: Medium-term (6–12 months).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Months 1–2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access onboarding, task corpus construction, baseline system configuration, IRB/privacy protocol finalization.</w:t>
            </w:r>
          </w:p>
        </w:tc>
      </w:tr>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Months 3–4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Comparative output analysis (Approach A). Initial bias audit differential runs (Approach B). Interim findings memo to OpenAI team.</w:t>
            </w:r>
          </w:p>
        </w:tc>
      </w:tr>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Months 5–6</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EchoLeak natural experiment analysis (Approach C). Cross-validation and robustness checks. Evaluation framework codification.</w:t>
            </w:r>
          </w:p>
        </w:tc>
      </w:tr>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Months 7–8</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working paper. Peer review submission targeting AEA Papers &amp; Proceedings or Journal of Economic Perspectives.</w:t>
            </w:r>
          </w:p>
        </w:tc>
      </w:tr>
      <w:tr>
        <w:tc>
          <w:tcPr>
            <w:tcW w:type="dxa" w:w="312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rPr>
                <w:rFonts w:ascii="Arial" w:cs="Arial" w:eastAsia="Arial" w:hAnsi="Arial"/>
                <w:b/>
                <w:bCs/>
                <w:color w:val="1F3864"/>
                <w:sz w:val="20"/>
                <w:szCs w:val="20"/>
              </w:rPr>
              <w:t xml:space="preserve">Months 9–12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Revisions, conference presentation (ASSA or equivalent), public dataset/benchmark release under open license.</w:t>
            </w:r>
          </w:p>
        </w:tc>
      </w:tr>
    </w:tbl>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8. External Distribution Plans</w:t>
      </w:r>
    </w:p>
    <w:p>
      <w:pPr>
        <w:spacing w:after="120" w:before="80" w:line="276"/>
        <w:jc w:val="both"/>
      </w:pPr>
      <w:r>
        <w:rPr>
          <w:rFonts w:ascii="Arial" w:cs="Arial" w:eastAsia="Arial" w:hAnsi="Arial"/>
          <w:sz w:val="22"/>
          <w:szCs w:val="22"/>
        </w:rPr>
        <w:t xml:space="preserve">Primary output: peer-reviewed working paper submitted to AEA Papers &amp; Proceedings, Journal of Economic Perspectives, or a comparable venue with high policy readership.</w:t>
      </w:r>
    </w:p>
    <w:p>
      <w:pPr>
        <w:spacing w:after="120" w:before="80" w:line="276"/>
        <w:jc w:val="both"/>
      </w:pPr>
      <w:r>
        <w:rPr>
          <w:rFonts w:ascii="Arial" w:cs="Arial" w:eastAsia="Arial" w:hAnsi="Arial"/>
          <w:sz w:val="22"/>
          <w:szCs w:val="22"/>
        </w:rPr>
        <w:t xml:space="preserve">Secondary outputs: (1) an open-source AI research integrity evaluation framework, released under permissive license on GitHub (Raiff1982), enabling other research teams to apply the defense layer taxonomy to their own AI pipelines; (2) a public benchmark dataset of governance-varied economic analysis outputs, archived on Zenodo with permanent DOI; (3) a policy brief targeting AI governance and economic research integrity audiences, with submission to relevant NBER or Brookings working paper series.</w:t>
      </w:r>
    </w:p>
    <w:p>
      <w:pPr>
        <w:spacing w:after="120" w:before="80" w:line="276"/>
        <w:jc w:val="both"/>
      </w:pPr>
      <w:r>
        <w:rPr>
          <w:rFonts w:ascii="Arial" w:cs="Arial" w:eastAsia="Arial" w:hAnsi="Arial"/>
          <w:sz w:val="22"/>
          <w:szCs w:val="22"/>
        </w:rPr>
        <w:t xml:space="preserve">The project’s findings will also be integrated into the ongoing Codette development timeline, maintained as a fully transparent and auditable record on GitHub and Zenodo, consistent with the project’s foundational commitment to reproducibility and prior-art documentation.</w:t>
      </w:r>
    </w:p>
    <w:p>
      <w:pPr>
        <w:pBdr>
          <w:bottom w:val="single" w:color="CCCCCC" w:sz="4" w:space="1"/>
        </w:pBdr>
        <w:spacing w:after="160" w:before="160"/>
      </w:pPr>
    </w:p>
    <w:p>
      <w:pPr>
        <w:pStyle w:val="Heading1"/>
        <w:spacing w:after="120" w:before="320"/>
      </w:pPr>
      <w:r>
        <w:rPr>
          <w:rFonts w:ascii="Arial" w:cs="Arial" w:eastAsia="Arial" w:hAnsi="Arial"/>
          <w:b/>
          <w:bCs/>
          <w:color w:val="1F3864"/>
          <w:sz w:val="28"/>
          <w:szCs w:val="28"/>
        </w:rPr>
        <w:t xml:space="preserve">References</w:t>
      </w:r>
    </w:p>
    <w:p>
      <w:pPr>
        <w:spacing w:after="120" w:before="80" w:line="276"/>
        <w:jc w:val="left"/>
      </w:pPr>
      <w:r>
        <w:rPr>
          <w:rFonts w:ascii="Arial" w:cs="Arial" w:eastAsia="Arial" w:hAnsi="Arial"/>
          <w:sz w:val="22"/>
          <w:szCs w:val="22"/>
        </w:rPr>
        <w:t xml:space="preserve">Harrison, J. (2026). Codette Multi-Perspective Cognitive Architecture v2.0. Zenodo. https://doi.org/10.5281/zenodo.19199793</w:t>
      </w:r>
    </w:p>
    <w:p>
      <w:pPr>
        <w:spacing w:after="120" w:before="80" w:line="276"/>
        <w:jc w:val="left"/>
      </w:pPr>
      <w:r>
        <w:rPr>
          <w:rFonts w:ascii="Arial" w:cs="Arial" w:eastAsia="Arial" w:hAnsi="Arial"/>
          <w:sz w:val="22"/>
          <w:szCs w:val="22"/>
        </w:rPr>
        <w:t xml:space="preserve">Harrison, J. (2026). [Preprint title]. Research Square. https://doi.org/10.21203/rs.3.rs-9362560/v1</w:t>
      </w:r>
    </w:p>
    <w:p>
      <w:pPr>
        <w:spacing w:after="120" w:before="80" w:line="276"/>
        <w:jc w:val="left"/>
      </w:pPr>
      <w:r>
        <w:rPr>
          <w:rFonts w:ascii="Arial" w:cs="Arial" w:eastAsia="Arial" w:hAnsi="Arial"/>
          <w:sz w:val="22"/>
          <w:szCs w:val="22"/>
        </w:rPr>
        <w:t xml:space="preserve">Harrison, J. (2026). Healdette: Ancestry-aware antibody design pipeline. Zenodo. https://doi.org/10.5281/zenodo.17213886</w:t>
      </w:r>
    </w:p>
    <w:p>
      <w:pPr>
        <w:spacing w:after="120" w:before="80" w:line="276"/>
        <w:jc w:val="left"/>
      </w:pPr>
      <w:r>
        <w:rPr>
          <w:rFonts w:ascii="Arial" w:cs="Arial" w:eastAsia="Arial" w:hAnsi="Arial"/>
          <w:sz w:val="22"/>
          <w:szCs w:val="22"/>
        </w:rPr>
        <w:t xml:space="preserve">Acemoglu, D. (2024). The simple macroeconomics of AI. Economic Policy, 39(120), 843–877.</w:t>
      </w:r>
    </w:p>
    <w:p>
      <w:pPr>
        <w:spacing w:after="120" w:before="80" w:line="276"/>
        <w:jc w:val="left"/>
      </w:pPr>
      <w:r>
        <w:rPr>
          <w:rFonts w:ascii="Arial" w:cs="Arial" w:eastAsia="Arial" w:hAnsi="Arial"/>
          <w:sz w:val="22"/>
          <w:szCs w:val="22"/>
        </w:rPr>
        <w:t xml:space="preserve">Brynjolfsson, E., Li, D., &amp; Raymond, L. R. (2023). Generative AI at work. NBER Working Paper No. 31161.</w:t>
      </w:r>
    </w:p>
    <w:p>
      <w:pPr>
        <w:spacing w:after="120" w:before="80" w:line="276"/>
        <w:jc w:val="left"/>
      </w:pPr>
      <w:r>
        <w:rPr>
          <w:rFonts w:ascii="Arial" w:cs="Arial" w:eastAsia="Arial" w:hAnsi="Arial"/>
          <w:sz w:val="22"/>
          <w:szCs w:val="22"/>
        </w:rPr>
        <w:t xml:space="preserve">Obermeyer, Z., Powers, B., Vogeli, C., &amp; Mullainathan, S. (2019). Dissecting racial bias in an algorithm used to manage the health of populations. Science, 366(6464), 447–453.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Harrison | Codette Defense Architecture &amp; Economic Research Integrity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2026-06-09T09:50:48.004Z</dcterms:created>
  <dcterms:modified xsi:type="dcterms:W3CDTF">2026-06-09T09:50:48.006Z</dcterms:modified>
</cp:coreProperties>
</file>

<file path=docProps/custom.xml><?xml version="1.0" encoding="utf-8"?>
<Properties xmlns="http://schemas.openxmlformats.org/officeDocument/2006/custom-properties" xmlns:vt="http://schemas.openxmlformats.org/officeDocument/2006/docPropsVTypes"/>
</file>