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Mesin pembakaran dalam merupakan komponen utama pada kendaraan bermotor konvensional. Mesin ini bekerja dengan membakar campuran bahan bakar dan udara untuk menghasilkan energi mekanik. Kapasitas mesin biasanya dinyatakan dalam satuan cc, yang menunjukkan volume ruang bakar pada silinder.</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Sebagai contoh, mesin berkapasitas 1.500 cc umumnya memiliki konsumsi bahan bakar lebih hemat dibandingkan mesin 2.000 cc dalam kondisi penggunaan yang sama. Namun, mesin dengan kapasitas lebih besar mampu menghasilkan tenaga dan torsi yang lebih tinggi, sehingga cocok untuk kendaraan yang membutuhkan performa ekstra.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