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pPr>
      <w:r w:rsidDel="00000000" w:rsidR="00000000" w:rsidRPr="00000000">
        <w:rPr>
          <w:rtl w:val="0"/>
        </w:rPr>
        <w:t xml:space="preserve">Kendaraan listrik menjadi alternatif ramah lingkungan dalam industri otomotif. Kendaraan ini menggunakan motor listrik sebagai penggerak utama dan baterai sebagai sumber energi. Tidak adanya proses pembakaran membuat kendaraan listrik menghasilkan emisi yang lebih rendah dibandingkan kendaraan berbahan bakar fosil.</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after="240" w:before="240" w:lineRule="auto"/>
        <w:ind w:firstLine="720"/>
        <w:jc w:val="both"/>
        <w:rPr/>
      </w:pPr>
      <w:r w:rsidDel="00000000" w:rsidR="00000000" w:rsidRPr="00000000">
        <w:rPr>
          <w:rtl w:val="0"/>
        </w:rPr>
        <w:t xml:space="preserve">Sebagai contoh, sebuah mobil listrik dengan kapasitas baterai 50 kWh mampu menempuh jarak sekitar 300 hingga 400 km dalam satu kali pengisian daya, tergantung kondisi penggunaan dan gaya berkendara pengemudi.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