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Blockchain dan Cryptocurrency</w:t>
      </w:r>
    </w:p>
    <w:p>
      <w:pPr>
        <w:spacing w:before="200" w:after="200"/>
      </w:pPr>
      <w:r>
        <w:t xml:space="preserve">Blockchain adalah teknologi distributed ledger yang mendasari cryptocurrency seperti Bitcoin dan Ethereum. Sistem terdesentralisasi ini memungkinkan transaksi peer-to-peer tanpa intermediary. Smart contract pada blockchain Ethereum memungkinkan eksekusi otomatis perjanjian digital tanpa pihak ketiga. NFT atau non-fungible token menggunakan blockchain untuk verifikasi kepemilikan aset digital. Teknologi ini juga diaplikasikan dalam supply chain management untuk transparansi dan traceability. Voting digital menggunakan blockchain memastikan integritas pemilihan. Keamanan kriptografi membuat blockchain resisten terhadap manipulasi data. Consensus mechanisms seperti Proof of Work dan Proof of Stake menjaga integritas network. Financial technology memanfaatkan blockchain untuk cross-border payment yang cepat dan murah. Decentralized finance (DeFi) menciptakan sistem finansial tanpa institusi tradisional.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2026-01-04T18:20:53.248Z</dcterms:created>
  <dcterms:modified xsi:type="dcterms:W3CDTF">2026-01-04T18:20:53.248Z</dcterms:modified>
</cp:coreProperties>
</file>

<file path=docProps/custom.xml><?xml version="1.0" encoding="utf-8"?>
<Properties xmlns="http://schemas.openxmlformats.org/officeDocument/2006/custom-properties" xmlns:vt="http://schemas.openxmlformats.org/officeDocument/2006/docPropsVTypes"/>
</file>