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Robotika dan Automation</w:t>
      </w:r>
    </w:p>
    <w:p>
      <w:pPr>
        <w:spacing w:before="200" w:after="200"/>
      </w:pPr>
      <w:r>
        <w:t xml:space="preserve">Robot industri meningkatkan efisiensi dan presisi dalam manufaktur modern. Robot lengan (robotic arm) melakukan tugas assembly yang repetitif dengan konsistensi tinggi. Automated Guided Vehicles (AGV) mengangkut material dalam pabrik secara autonomous. Collaborative robots atau cobots bekerja bersama manusia dengan aman tanpa safety cage. Computer vision memungkinkan robot melakukan quality control dan inspection. Predictive maintenance menggunakan sensor IoT untuk mencegah downtime yang costly. Industry 4.0 mengintegrasikan robotika dengan AI dan IoT untuk smart manufacturing. Machine learning memungkinkan robot belajar dari experience dan adapt ke situasi baru. Autonomous vehicles menggunakan sensor LIDAR, camera, dan radar untuk self-driving. Robot dalam healthcare membantu surgery dan rehabilitation. Service robots dalam retail dan hospitality meningkatkan customer 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2026-01-04T18:20:53.326Z</dcterms:created>
  <dcterms:modified xsi:type="dcterms:W3CDTF">2026-01-04T18:20:53.326Z</dcterms:modified>
</cp:coreProperties>
</file>

<file path=docProps/custom.xml><?xml version="1.0" encoding="utf-8"?>
<Properties xmlns="http://schemas.openxmlformats.org/officeDocument/2006/custom-properties" xmlns:vt="http://schemas.openxmlformats.org/officeDocument/2006/docPropsVTypes"/>
</file>