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Virtual Reality dan Augmented Reality</w:t>
      </w:r>
    </w:p>
    <w:p>
      <w:pPr>
        <w:spacing w:before="200" w:after="200"/>
      </w:pPr>
      <w:r>
        <w:t xml:space="preserve">Virtual reality menciptakan lingkungan immersive untuk pembelajaran dan entertainment. Medical training menggunakan VR untuk simulasi operasi tanpa risiko pada pasien real. Pilot training dengan VR flight simulator lebih cost-effective dan safe. Arsitektur menggunakan VR untuk walkthrough desain bangunan sebelum konstruksi. History education menjadi lebih engaging dengan VR historical recreations. Augmented Reality meningkatkan shopping experience dengan overlay digital di real world. Virtual try-on memungkinkan customer mencoba produk fashion atau makeup secara virtual. AR furniture placement membantu visualisasi produk furniture di rumah. Interactive product demonstrations menggunakan AR marker. Navigation indoor dengan AR untuk department store besar. Gamification dengan AR meningkatkan engagement. Mixed reality menggabungkan VR dan AR untuk experiences yang lebih rich.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2026-01-04T18:20:53.352Z</dcterms:created>
  <dcterms:modified xsi:type="dcterms:W3CDTF">2026-01-04T18:20:53.352Z</dcterms:modified>
</cp:coreProperties>
</file>

<file path=docProps/custom.xml><?xml version="1.0" encoding="utf-8"?>
<Properties xmlns="http://schemas.openxmlformats.org/officeDocument/2006/custom-properties" xmlns:vt="http://schemas.openxmlformats.org/officeDocument/2006/docPropsVTypes"/>
</file>