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Quantum Computing</w:t>
      </w:r>
    </w:p>
    <w:p>
      <w:pPr>
        <w:spacing w:before="200" w:after="200"/>
      </w:pPr>
      <w:r>
        <w:t xml:space="preserve">Quantum computing menggunakan prinsip mekanika kuantum untuk komputasi yang revolutionary. Qubit dapat berada dalam superposisi state 0 dan 1 sekaligus, berbeda dengan classical bit. Quantum entanglement memungkinkan qubit saling terhubung secara instant tanpa batasan jarak. Quantum gates memanipulasi qubit untuk computation. Algoritma quantum seperti Shor's algorithm dapat memecahkan enkripsi tradisional RSA. Grover's algorithm mempercepat database search secara kuadratik. Optimization problems yang kompleks dapat diselesaikan lebih cepat dengan quantum annealing. Drug discovery dan material science mendapat manfaat dari quantum simulation molekul. Quantum supremacy dicapai ketika quantum computer menyelesaikan task yang tidak feasible untuk classical computer. IBM Quantum, Google Quantum AI, dan perusahaan lain mengembangkan quantum computers dengan increasing qubit counts dan improved error rates.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2026-01-04T18:20:53.374Z</dcterms:created>
  <dcterms:modified xsi:type="dcterms:W3CDTF">2026-01-04T18:20:53.374Z</dcterms:modified>
</cp:coreProperties>
</file>

<file path=docProps/custom.xml><?xml version="1.0" encoding="utf-8"?>
<Properties xmlns="http://schemas.openxmlformats.org/officeDocument/2006/custom-properties" xmlns:vt="http://schemas.openxmlformats.org/officeDocument/2006/docPropsVTypes"/>
</file>