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Bioteknologi dan Mikrobiologi</w:t>
      </w:r>
    </w:p>
    <w:p>
      <w:pPr>
        <w:spacing w:before="200" w:after="200"/>
      </w:pPr>
      <w:r>
        <w:t xml:space="preserve">Bioteknologi meningkatkan produktivitas dan keberlanjutan pertanian modern dengan scientific approaches. Genetic engineering menciptakan tanaman tahan hama dan penyakit untuk reduce pesticide use. GMO atau genetically modified organisms meningkatkan yield dan nutrisi crops. CRISPR gene editing adalah teknologi presisi untuk modifikasi genetik targeted. Tissue culture memungkinkan perbanyakan tanaman secara cepat dan disease-free. Biopestisida lebih ramah lingkungan dibanding pestisida kimia synthetic. Mikrobiologi mempelajari mikroorganisme seperti bakteri, virus, dan fungi. Sistem imun melindungi tubuh dari infeksi dengan innate dan adaptive immunity. Innate immunity adalah pertahanan lini pertama yang non-spesifik. Adaptive immunity mengembangkan memory terhadap patogen spesifik. Antibodi mengenali dan menetralisir antigen asing. Vaksinasi melatih sistem imun untuk mengenali pathogen. Gut microbiome mempengaruhi kesehatan sistem imun dan digestive health.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2026-01-04T18:20:53.392Z</dcterms:created>
  <dcterms:modified xsi:type="dcterms:W3CDTF">2026-01-04T18:20:53.392Z</dcterms:modified>
</cp:coreProperties>
</file>

<file path=docProps/custom.xml><?xml version="1.0" encoding="utf-8"?>
<Properties xmlns="http://schemas.openxmlformats.org/officeDocument/2006/custom-properties" xmlns:vt="http://schemas.openxmlformats.org/officeDocument/2006/docPropsVTypes"/>
</file>