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Financial Technology</w:t>
      </w:r>
    </w:p>
    <w:p>
      <w:pPr>
        <w:spacing w:before="200" w:after="200"/>
      </w:pPr>
      <w:r>
        <w:t xml:space="preserve">Financial technology merevolusi layanan keuangan tradisional dengan digital innovation. Digital banking menawarkan layanan perbankan komprehensif tanpa cabang fisik. Mobile payment seperti e-wallet memudahkan transaksi cashless yang convenient. Peer-to-peer lending menghubungkan borrower dan lender langsung tanpa intermediary bank. Robo-advisor menggunakan algoritma untuk investment advice yang personalized. Blockchain untuk cross-border payment yang cepat dan murah tanpa SWIFT. Open banking API memungkinkan third-party applications akses data financial dengan consent. Digital identity verification menggunakan biometrics untuk security. Insurtech mengotomasi claims processing dan underwriting. Regtech membantu compliance dengan regulations yang complex. Neobanks adalah fully digital banks tanpa legacy systems. Cryptocurrency exchanges memfasilitasi trading digital assets. Buy now pay later (BNPL) services untuk installment payments.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2026-01-04T18:20:53.410Z</dcterms:created>
  <dcterms:modified xsi:type="dcterms:W3CDTF">2026-01-04T18:20:53.410Z</dcterms:modified>
</cp:coreProperties>
</file>

<file path=docProps/custom.xml><?xml version="1.0" encoding="utf-8"?>
<Properties xmlns="http://schemas.openxmlformats.org/officeDocument/2006/custom-properties" xmlns:vt="http://schemas.openxmlformats.org/officeDocument/2006/docPropsVTypes"/>
</file>