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Data Privacy dan Compliance</w:t>
      </w:r>
    </w:p>
    <w:p>
      <w:pPr>
        <w:spacing w:before="200" w:after="200"/>
      </w:pPr>
      <w:r>
        <w:t xml:space="preserve">Data privacy melindungi informasi personal dari unauthorized access dan misuse yang merugikan. GDPR adalah regulasi comprehensive untuk data protection di European Union yang strict. Consent management memastikan user agreement explicit untuk data collection dan processing. Right to be forgotten memungkinkan user menghapus data mereka dari systems. Data minimization mengumpulkan hanya data yang necessary untuk specific purpose. Encryption protects data at rest dan in transit dengan cryptographic algorithms. Privacy by design mengintegrasikan privacy dalam system design dari awal. Data breach notification requirements mengharuskan pelaporan incidents. Privacy impact assessment untuk evaluate risks dari data processing. Anonymization dan pseudonymization untuk protect user identities. Cross-border data transfer regulations untuk international data flows. Cookie policies dan tracking transparency. Employee training untuk data handling best practices.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2026-01-04T18:20:53.419Z</dcterms:created>
  <dcterms:modified xsi:type="dcterms:W3CDTF">2026-01-04T18:20:53.419Z</dcterms:modified>
</cp:coreProperties>
</file>

<file path=docProps/custom.xml><?xml version="1.0" encoding="utf-8"?>
<Properties xmlns="http://schemas.openxmlformats.org/officeDocument/2006/custom-properties" xmlns:vt="http://schemas.openxmlformats.org/officeDocument/2006/docPropsVTypes"/>
</file>