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Space Exploration dan Sains Modern</w:t>
      </w:r>
    </w:p>
    <w:p>
      <w:pPr>
        <w:spacing w:before="200" w:after="200"/>
      </w:pPr>
      <w:r>
        <w:t xml:space="preserve">Space exploration memperluas pemahaman kita tentang universe dan planet lain. Mars adalah target utama untuk human colonization dengan ongoing research. SpaceX mengembangkan Starship untuk Mars transportation yang reusable. NASA Perseverance rover mencari signs of ancient life di Mars surface. International Space Station adalah laboratory untuk microgravity research dan experiments. Satellite technology untuk communication, GPS, dan Earth observation yang critical. Private space companies seperti Blue Origin dan Virgin Galactic democratize space access. Teori relativitas Einstein mengubah pemahaman tentang ruang dan waktu fundamental. Relativitas khusus menyatakan kecepatan cahaya konstan di semua frame of reference. Time dilation terjadi pada kecepatan mendekati cahaya. Relativitas umum menjelaskan gravitasi sebagai kelengkungan spacetime. Black hole adalah prediksi teori relativitas yang telah terkonfirmasi dengan observations. Gravitational waves terdeteksi pertama kali tahun 2015 oleh LIGO.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2026-01-04T18:20:53.428Z</dcterms:created>
  <dcterms:modified xsi:type="dcterms:W3CDTF">2026-01-04T18:20:53.428Z</dcterms:modified>
</cp:coreProperties>
</file>

<file path=docProps/custom.xml><?xml version="1.0" encoding="utf-8"?>
<Properties xmlns="http://schemas.openxmlformats.org/officeDocument/2006/custom-properties" xmlns:vt="http://schemas.openxmlformats.org/officeDocument/2006/docPropsVTypes"/>
</file>