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Pilot FTV-Based Prediction of Pathologic Complete Response in I-SPY2 Breast MRI</w:t>
      </w:r>
    </w:p>
    <w:p>
      <w:r>
        <w:t>Tumor-source validation with a future temporal graph learning framework</w:t>
      </w:r>
    </w:p>
    <w:p>
      <w:pPr>
        <w:pStyle w:val="Heading1"/>
      </w:pPr>
      <w:r>
        <w:t>Abstract</w:t>
      </w:r>
    </w:p>
    <w:p>
      <w:r>
        <w:t>This pilot study built a reproducible Cradle-to-GitHub pipeline for I-SPY2 breast MRI. The project tested raw DICOM SEG masks, found that they were not reliable tumor-only masks for the main analysis, moved to official MRI/FTV support-data features, mapped pCR labels, and trained pilot pCR prediction models. The strongest current result is an SVM_RBF model using FTV support features with AUROC 0.6667, AUPRC 0.7528, and Brier score 0.2405.</w:t>
      </w:r>
    </w:p>
    <w:p>
      <w:pPr>
        <w:pStyle w:val="Heading1"/>
      </w:pPr>
      <w:r>
        <w:t>1. Research Question</w:t>
      </w:r>
    </w:p>
    <w:p>
      <w:r>
        <w:t>Can official MRI/FTV support-data features provide a stronger and more reliable pilot pCR prediction signal than features derived from weak DICOM SEG or proxy biomarker paths?</w:t>
      </w:r>
    </w:p>
    <w:p>
      <w:pPr>
        <w:pStyle w:val="Heading1"/>
      </w:pPr>
      <w:r>
        <w:t>2. Dataset and Computing Environment</w:t>
      </w:r>
    </w:p>
    <w:p>
      <w:r>
        <w:t>Dataset size on Cradle: 1.6T.</w:t>
      </w:r>
    </w:p>
    <w:p>
      <w:r>
        <w:t>Patients in inventory: 719.</w:t>
      </w:r>
    </w:p>
    <w:p>
      <w:r>
        <w:t>Series counted: 32411.</w:t>
      </w:r>
    </w:p>
    <w:p>
      <w:r>
        <w:t>DICOM files counted: 5586493.</w:t>
      </w:r>
    </w:p>
    <w:p>
      <w:pPr>
        <w:pStyle w:val="Heading1"/>
      </w:pPr>
      <w:r>
        <w:t>3. Tumor-Source Validation</w:t>
      </w:r>
    </w:p>
    <w:p>
      <w:r>
        <w:t>The DICOM SEG path was tested first. It became a diagnostic part of the study rather than the final modeling path. Many SEG files behaved like full-slice analysis masks. Fractional mask recovery was possible for a limited subset, but it did not provide enough labeled patients for reliable supervised modeling.</w:t>
      </w:r>
    </w:p>
    <w:p>
      <w:pPr>
        <w:pStyle w:val="Heading1"/>
      </w:pPr>
      <w:r>
        <w:t>4. Main Modeling Path</w:t>
      </w:r>
    </w:p>
    <w:p>
      <w:r>
        <w:t>The official MRI/FTV support-data path was selected as the main current result because it gave the strongest pilot pCR prediction signal.</w:t>
      </w:r>
    </w:p>
    <w:p>
      <w:r>
        <w:rPr>
          <w:b/>
        </w:rPr>
        <w:t>Table 1. Baseline vs FTV model comparison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analysis</w:t>
            </w:r>
          </w:p>
        </w:tc>
        <w:tc>
          <w:tcPr>
            <w:tcW w:type="dxa" w:w="1080"/>
          </w:tcPr>
          <w:p>
            <w:r>
              <w:t>best_model</w:t>
            </w:r>
          </w:p>
        </w:tc>
        <w:tc>
          <w:tcPr>
            <w:tcW w:type="dxa" w:w="1080"/>
          </w:tcPr>
          <w:p>
            <w:r>
              <w:t>n_patients</w:t>
            </w:r>
          </w:p>
        </w:tc>
        <w:tc>
          <w:tcPr>
            <w:tcW w:type="dxa" w:w="1080"/>
          </w:tcPr>
          <w:p>
            <w:r>
              <w:t>positive_pCR</w:t>
            </w:r>
          </w:p>
        </w:tc>
        <w:tc>
          <w:tcPr>
            <w:tcW w:type="dxa" w:w="1080"/>
          </w:tcPr>
          <w:p>
            <w:r>
              <w:t>negative_non_pCR</w:t>
            </w:r>
          </w:p>
        </w:tc>
        <w:tc>
          <w:tcPr>
            <w:tcW w:type="dxa" w:w="1080"/>
          </w:tcPr>
          <w:p>
            <w:r>
              <w:t>n_features</w:t>
            </w:r>
          </w:p>
        </w:tc>
        <w:tc>
          <w:tcPr>
            <w:tcW w:type="dxa" w:w="1080"/>
          </w:tcPr>
          <w:p>
            <w:r>
              <w:t>AUROC</w:t>
            </w:r>
          </w:p>
        </w:tc>
        <w:tc>
          <w:tcPr>
            <w:tcW w:type="dxa" w:w="1080"/>
          </w:tcPr>
          <w:p>
            <w:r>
              <w:t>AUPRC</w:t>
            </w:r>
          </w:p>
        </w:tc>
      </w:tr>
      <w:tr>
        <w:tc>
          <w:tcPr>
            <w:tcW w:type="dxa" w:w="1080"/>
          </w:tcPr>
          <w:p>
            <w:r>
              <w:t>Phase 5A baseline biomarker model</w:t>
            </w:r>
          </w:p>
        </w:tc>
        <w:tc>
          <w:tcPr>
            <w:tcW w:type="dxa" w:w="1080"/>
          </w:tcPr>
          <w:p>
            <w:r>
              <w:t>LogisticRegression</w:t>
            </w:r>
          </w:p>
        </w:tc>
        <w:tc>
          <w:tcPr>
            <w:tcW w:type="dxa" w:w="1080"/>
          </w:tcPr>
          <w:p>
            <w:r>
              <w:t>33</w:t>
            </w:r>
          </w:p>
        </w:tc>
        <w:tc>
          <w:tcPr>
            <w:tcW w:type="dxa" w:w="1080"/>
          </w:tcPr>
          <w:p>
            <w:r>
              <w:t>20</w:t>
            </w:r>
          </w:p>
        </w:tc>
        <w:tc>
          <w:tcPr>
            <w:tcW w:type="dxa" w:w="1080"/>
          </w:tcPr>
          <w:p>
            <w:r>
              <w:t>13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0.5461538461538461</w:t>
            </w:r>
          </w:p>
        </w:tc>
        <w:tc>
          <w:tcPr>
            <w:tcW w:type="dxa" w:w="1080"/>
          </w:tcPr>
          <w:p>
            <w:r>
              <w:t>0.7506391256164644</w:t>
            </w:r>
          </w:p>
        </w:tc>
      </w:tr>
      <w:tr>
        <w:tc>
          <w:tcPr>
            <w:tcW w:type="dxa" w:w="1080"/>
          </w:tcPr>
          <w:p>
            <w:r>
              <w:t>Phase 8C FTV support-data model</w:t>
            </w:r>
          </w:p>
        </w:tc>
        <w:tc>
          <w:tcPr>
            <w:tcW w:type="dxa" w:w="1080"/>
          </w:tcPr>
          <w:p>
            <w:r>
              <w:t>SVM_RBF</w:t>
            </w:r>
          </w:p>
        </w:tc>
        <w:tc>
          <w:tcPr>
            <w:tcW w:type="dxa" w:w="1080"/>
          </w:tcPr>
          <w:p>
            <w:r>
              <w:t>13</w:t>
            </w:r>
          </w:p>
        </w:tc>
        <w:tc>
          <w:tcPr>
            <w:tcW w:type="dxa" w:w="1080"/>
          </w:tcPr>
          <w:p>
            <w:r>
              <w:t>7</w:t>
            </w:r>
          </w:p>
        </w:tc>
        <w:tc>
          <w:tcPr>
            <w:tcW w:type="dxa" w:w="1080"/>
          </w:tcPr>
          <w:p>
            <w:r>
              <w:t>6</w:t>
            </w:r>
          </w:p>
        </w:tc>
        <w:tc>
          <w:tcPr>
            <w:tcW w:type="dxa" w:w="1080"/>
          </w:tcPr>
          <w:p>
            <w:r>
              <w:t>28</w:t>
            </w:r>
          </w:p>
        </w:tc>
        <w:tc>
          <w:tcPr>
            <w:tcW w:type="dxa" w:w="1080"/>
          </w:tcPr>
          <w:p>
            <w:r>
              <w:t>0.6666666666666667</w:t>
            </w:r>
          </w:p>
        </w:tc>
        <w:tc>
          <w:tcPr>
            <w:tcW w:type="dxa" w:w="1080"/>
          </w:tcPr>
          <w:p>
            <w:r>
              <w:t>0.7527734170591311</w:t>
            </w:r>
          </w:p>
        </w:tc>
      </w:tr>
    </w:tbl>
    <w:p/>
    <w:p>
      <w:pPr>
        <w:pStyle w:val="Heading1"/>
      </w:pPr>
      <w:r>
        <w:t>5. Main Result</w:t>
      </w:r>
    </w:p>
    <w:p>
      <w:r>
        <w:t>Best FTV model: SVM_RBF.</w:t>
      </w:r>
    </w:p>
    <w:p>
      <w:r>
        <w:t>AUROC: 0.6667.</w:t>
      </w:r>
    </w:p>
    <w:p>
      <w:r>
        <w:t>AUPRC: 0.7528.</w:t>
      </w:r>
    </w:p>
    <w:p>
      <w:r>
        <w:t>Brier score: 0.2405.</w:t>
      </w:r>
    </w:p>
    <w:p>
      <w:r>
        <w:drawing>
          <wp:inline xmlns:a="http://schemas.openxmlformats.org/drawingml/2006/main" xmlns:pic="http://schemas.openxmlformats.org/drawingml/2006/picture">
            <wp:extent cx="5486400" cy="3048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60_phase8d_baseline_vs_ftv_metric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4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1. Baseline vs FTV support-data model metrics.</w:t>
      </w:r>
    </w:p>
    <w:p>
      <w:pPr>
        <w:pStyle w:val="Heading1"/>
      </w:pPr>
      <w:r>
        <w:t>6. Visual Methods Output</w:t>
      </w:r>
    </w:p>
    <w:p>
      <w:r>
        <w:t>Stage 10D packaged the visual preprocessing, recovered tumor mask overlay, breast-pair formation, and contrast-transport proxy into thesis-ready figures.</w:t>
      </w:r>
    </w:p>
    <w:p>
      <w:r>
        <w:drawing>
          <wp:inline xmlns:a="http://schemas.openxmlformats.org/drawingml/2006/main" xmlns:pic="http://schemas.openxmlformats.org/drawingml/2006/picture">
            <wp:extent cx="5486400" cy="3048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40_stage10d_master_methods_pane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4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2. Master methods panel.</w:t>
      </w:r>
    </w:p>
    <w:p>
      <w:r>
        <w:drawing>
          <wp:inline xmlns:a="http://schemas.openxmlformats.org/drawingml/2006/main" xmlns:pic="http://schemas.openxmlformats.org/drawingml/2006/picture">
            <wp:extent cx="5486400" cy="1524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42_stage10d_final_pipeline_and_model_resul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2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3. Final pipeline and model result figure.</w:t>
      </w:r>
    </w:p>
    <w:p>
      <w:pPr>
        <w:pStyle w:val="Heading1"/>
      </w:pPr>
      <w:r>
        <w:t>7. Temporal Graph Decision</w:t>
      </w:r>
    </w:p>
    <w:p>
      <w:r>
        <w:t>A graph-ready longitudinal FTV dataset was created. However, the temporal-delta model did not beat the FTV support-data model. Therefore, temporal GNN is future work, not the main current model.</w:t>
      </w:r>
    </w:p>
    <w:p>
      <w:r>
        <w:rPr>
          <w:b/>
        </w:rPr>
        <w:t>Table 2. Phase 9C model decision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analysis</w:t>
            </w:r>
          </w:p>
        </w:tc>
        <w:tc>
          <w:tcPr>
            <w:tcW w:type="dxa" w:w="1234"/>
          </w:tcPr>
          <w:p>
            <w:r>
              <w:t>best_model</w:t>
            </w:r>
          </w:p>
        </w:tc>
        <w:tc>
          <w:tcPr>
            <w:tcW w:type="dxa" w:w="1234"/>
          </w:tcPr>
          <w:p>
            <w:r>
              <w:t>n_patients</w:t>
            </w:r>
          </w:p>
        </w:tc>
        <w:tc>
          <w:tcPr>
            <w:tcW w:type="dxa" w:w="1234"/>
          </w:tcPr>
          <w:p>
            <w:r>
              <w:t>AUROC</w:t>
            </w:r>
          </w:p>
        </w:tc>
        <w:tc>
          <w:tcPr>
            <w:tcW w:type="dxa" w:w="1234"/>
          </w:tcPr>
          <w:p>
            <w:r>
              <w:t>AUPRC</w:t>
            </w:r>
          </w:p>
        </w:tc>
        <w:tc>
          <w:tcPr>
            <w:tcW w:type="dxa" w:w="1234"/>
          </w:tcPr>
          <w:p>
            <w:r>
              <w:t>Brier_score</w:t>
            </w:r>
          </w:p>
        </w:tc>
        <w:tc>
          <w:tcPr>
            <w:tcW w:type="dxa" w:w="1234"/>
          </w:tcPr>
          <w:p>
            <w:r>
              <w:t>role</w:t>
            </w:r>
          </w:p>
        </w:tc>
      </w:tr>
      <w:tr>
        <w:tc>
          <w:tcPr>
            <w:tcW w:type="dxa" w:w="1234"/>
          </w:tcPr>
          <w:p>
            <w:r>
              <w:t>Phase 8C FTV support-data model</w:t>
            </w:r>
          </w:p>
        </w:tc>
        <w:tc>
          <w:tcPr>
            <w:tcW w:type="dxa" w:w="1234"/>
          </w:tcPr>
          <w:p>
            <w:r>
              <w:t>SVM_RBF</w:t>
            </w:r>
          </w:p>
        </w:tc>
        <w:tc>
          <w:tcPr>
            <w:tcW w:type="dxa" w:w="1234"/>
          </w:tcPr>
          <w:p>
            <w:r>
              <w:t>13</w:t>
            </w:r>
          </w:p>
        </w:tc>
        <w:tc>
          <w:tcPr>
            <w:tcW w:type="dxa" w:w="1234"/>
          </w:tcPr>
          <w:p>
            <w:r>
              <w:t>0.6666666666666667</w:t>
            </w:r>
          </w:p>
        </w:tc>
        <w:tc>
          <w:tcPr>
            <w:tcW w:type="dxa" w:w="1234"/>
          </w:tcPr>
          <w:p>
            <w:r>
              <w:t>0.7527734170591311</w:t>
            </w:r>
          </w:p>
        </w:tc>
        <w:tc>
          <w:tcPr>
            <w:tcW w:type="dxa" w:w="1234"/>
          </w:tcPr>
          <w:p>
            <w:r>
              <w:t>0.2405088066605158</w:t>
            </w:r>
          </w:p>
        </w:tc>
        <w:tc>
          <w:tcPr>
            <w:tcW w:type="dxa" w:w="1234"/>
          </w:tcPr>
          <w:p>
            <w:r>
              <w:t>current strongest pilot model</w:t>
            </w:r>
          </w:p>
        </w:tc>
      </w:tr>
      <w:tr>
        <w:tc>
          <w:tcPr>
            <w:tcW w:type="dxa" w:w="1234"/>
          </w:tcPr>
          <w:p>
            <w:r>
              <w:t>Phase 9B temporal-delta baseline</w:t>
            </w:r>
          </w:p>
        </w:tc>
        <w:tc>
          <w:tcPr>
            <w:tcW w:type="dxa" w:w="1234"/>
          </w:tcPr>
          <w:p>
            <w:r>
              <w:t>RandomForest</w:t>
            </w:r>
          </w:p>
        </w:tc>
        <w:tc>
          <w:tcPr>
            <w:tcW w:type="dxa" w:w="1234"/>
          </w:tcPr>
          <w:p>
            <w:r>
              <w:t>13</w:t>
            </w:r>
          </w:p>
        </w:tc>
        <w:tc>
          <w:tcPr>
            <w:tcW w:type="dxa" w:w="1234"/>
          </w:tcPr>
          <w:p>
            <w:r>
              <w:t>0.5714285714285714</w:t>
            </w:r>
          </w:p>
        </w:tc>
        <w:tc>
          <w:tcPr>
            <w:tcW w:type="dxa" w:w="1234"/>
          </w:tcPr>
          <w:p>
            <w:r>
              <w:t>0.6059523809523809</w:t>
            </w:r>
          </w:p>
        </w:tc>
        <w:tc>
          <w:tcPr>
            <w:tcW w:type="dxa" w:w="1234"/>
          </w:tcPr>
          <w:p>
            <w:r>
              <w:t>0.2724052884615385</w:t>
            </w:r>
          </w:p>
        </w:tc>
        <w:tc>
          <w:tcPr>
            <w:tcW w:type="dxa" w:w="1234"/>
          </w:tcPr>
          <w:p>
            <w:r>
              <w:t>diagnostic temporal baseline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486400" cy="32004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83_phase9a_graph_schema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4. Future graph-ready longitudinal representation.</w:t>
      </w:r>
    </w:p>
    <w:p>
      <w:pPr>
        <w:pStyle w:val="Heading1"/>
      </w:pPr>
      <w:r>
        <w:t>8. Limitations</w:t>
      </w:r>
    </w:p>
    <w:p>
      <w:r>
        <w:t>This is pilot work. The strongest model used a small labeled cohort and should not be described as clinical validation.</w:t>
      </w:r>
    </w:p>
    <w:p>
      <w:r>
        <w:t>The obstacle proxy is a conceptual contrast-transport visualization. It is not a direct measurement of blood flow, milk flow, or fluid flow.</w:t>
      </w:r>
    </w:p>
    <w:p>
      <w:r>
        <w:t>The temporal GNN direction needs more patients and more stable longitudinal tumor-region features.</w:t>
      </w:r>
    </w:p>
    <w:p>
      <w:pPr>
        <w:pStyle w:val="Heading1"/>
      </w:pPr>
      <w:r>
        <w:t>9. Future Work</w:t>
      </w:r>
    </w:p>
    <w:p>
      <w:r>
        <w:t>Future work should use a larger longitudinal FTV/PE/SER cohort and build a temporal graph model with stable patient-visit or tumor-region nodes. A future GNN should be compared against the current FTV SVM baseline before making stronger claims.</w:t>
      </w:r>
    </w:p>
    <w:p>
      <w:pPr>
        <w:pStyle w:val="Heading1"/>
      </w:pPr>
      <w:r>
        <w:t>10. Recommended Thesis Figures</w:t>
      </w:r>
    </w:p>
    <w:p>
      <w:r>
        <w:rPr>
          <w:b/>
        </w:rPr>
        <w:t>Table 3. Figure caption map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figure_file</w:t>
            </w:r>
          </w:p>
        </w:tc>
        <w:tc>
          <w:tcPr>
            <w:tcW w:type="dxa" w:w="2880"/>
          </w:tcPr>
          <w:p>
            <w:r>
              <w:t>paper_section</w:t>
            </w:r>
          </w:p>
        </w:tc>
        <w:tc>
          <w:tcPr>
            <w:tcW w:type="dxa" w:w="2880"/>
          </w:tcPr>
          <w:p>
            <w:r>
              <w:t>caption</w:t>
            </w:r>
          </w:p>
        </w:tc>
      </w:tr>
      <w:tr>
        <w:tc>
          <w:tcPr>
            <w:tcW w:type="dxa" w:w="2880"/>
          </w:tcPr>
          <w:p>
            <w:r>
              <w:t>340_stage10d_master_methods_panel.png</w:t>
            </w:r>
          </w:p>
        </w:tc>
        <w:tc>
          <w:tcPr>
            <w:tcW w:type="dxa" w:w="2880"/>
          </w:tcPr>
          <w:p>
            <w:r>
              <w:t>Methods overview</w:t>
            </w:r>
          </w:p>
        </w:tc>
        <w:tc>
          <w:tcPr>
            <w:tcW w:type="dxa" w:w="2880"/>
          </w:tcPr>
          <w:p>
            <w:r>
              <w:t>Composite panel showing preprocessing, recovered tumor mask overlay, breast-pair formation, contrast-transport proxy visualization, and the final modeling decision.</w:t>
            </w:r>
          </w:p>
        </w:tc>
      </w:tr>
      <w:tr>
        <w:tc>
          <w:tcPr>
            <w:tcW w:type="dxa" w:w="2880"/>
          </w:tcPr>
          <w:p>
            <w:r>
              <w:t>341_stage10d_selected_case_contact_sheet.png</w:t>
            </w:r>
          </w:p>
        </w:tc>
        <w:tc>
          <w:tcPr>
            <w:tcW w:type="dxa" w:w="2880"/>
          </w:tcPr>
          <w:p>
            <w:r>
              <w:t>Preprocessing visual QC</w:t>
            </w:r>
          </w:p>
        </w:tc>
        <w:tc>
          <w:tcPr>
            <w:tcW w:type="dxa" w:w="2880"/>
          </w:tcPr>
          <w:p>
            <w:r>
              <w:t>Representative case examples showing raw and preprocessed MRI with recovered tumor-mask candidates.</w:t>
            </w:r>
          </w:p>
        </w:tc>
      </w:tr>
      <w:tr>
        <w:tc>
          <w:tcPr>
            <w:tcW w:type="dxa" w:w="2880"/>
          </w:tcPr>
          <w:p>
            <w:r>
              <w:t>342_stage10d_final_pipeline_and_model_result.png</w:t>
            </w:r>
          </w:p>
        </w:tc>
        <w:tc>
          <w:tcPr>
            <w:tcW w:type="dxa" w:w="2880"/>
          </w:tcPr>
          <w:p>
            <w:r>
              <w:t>Main results</w:t>
            </w:r>
          </w:p>
        </w:tc>
        <w:tc>
          <w:tcPr>
            <w:tcW w:type="dxa" w:w="2880"/>
          </w:tcPr>
          <w:p>
            <w:r>
              <w:t>Summary of the analysis path and model comparison showing that the official MRI/FTV support-data model is the strongest pilot result.</w:t>
            </w:r>
          </w:p>
        </w:tc>
      </w:tr>
      <w:tr>
        <w:tc>
          <w:tcPr>
            <w:tcW w:type="dxa" w:w="2880"/>
          </w:tcPr>
          <w:p>
            <w:r>
              <w:t>270_phase8e_project_pipeline.png</w:t>
            </w:r>
          </w:p>
        </w:tc>
        <w:tc>
          <w:tcPr>
            <w:tcW w:type="dxa" w:w="2880"/>
          </w:tcPr>
          <w:p>
            <w:r>
              <w:t>Study workflow</w:t>
            </w:r>
          </w:p>
        </w:tc>
        <w:tc>
          <w:tcPr>
            <w:tcW w:type="dxa" w:w="2880"/>
          </w:tcPr>
          <w:p>
            <w:r>
              <w:t>Overall project pipeline from ISPY2 data organization to FTV modeling and future temporal graph learning.</w:t>
            </w:r>
          </w:p>
        </w:tc>
      </w:tr>
      <w:tr>
        <w:tc>
          <w:tcPr>
            <w:tcW w:type="dxa" w:w="2880"/>
          </w:tcPr>
          <w:p>
            <w:r>
              <w:t>283_phase9a_graph_schema.png</w:t>
            </w:r>
          </w:p>
        </w:tc>
        <w:tc>
          <w:tcPr>
            <w:tcW w:type="dxa" w:w="2880"/>
          </w:tcPr>
          <w:p>
            <w:r>
              <w:t>Future work</w:t>
            </w:r>
          </w:p>
        </w:tc>
        <w:tc>
          <w:tcPr>
            <w:tcW w:type="dxa" w:w="2880"/>
          </w:tcPr>
          <w:p>
            <w:r>
              <w:t>Graph-ready longitudinal representation where patient visits become nodes and temporal edges encode treatment progression.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